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Calibri" w:hAnsi="Calibri"/>
          <w:b/>
          <w:color w:val="64748B"/>
          <w:sz w:val="22"/>
        </w:rPr>
        <w:t>DEPARTMENT OF COMPUTER SCIENCE &amp; ENGINEERING</w:t>
        <w:br/>
        <w:t>SCHOOL OF COMPUTING &amp; INFORMATION SCIENCES</w:t>
      </w:r>
    </w:p>
    <w:p>
      <w:pPr>
        <w:spacing w:before="80" w:after="560"/>
        <w:jc w:val="center"/>
      </w:pPr>
      <w:r>
        <w:rPr>
          <w:rFonts w:ascii="Calibri" w:hAnsi="Calibri"/>
          <w:b/>
          <w:color w:val="2563EB"/>
          <w:sz w:val="20"/>
        </w:rPr>
        <w:t>COURSE CSE 424: PATTERN RECOGNITION &amp; MACHINE LEARNING</w:t>
        <w:br/>
        <w:t>ACADEMIC YEAR 2025–2026 | SUMMER 2026</w:t>
      </w:r>
    </w:p>
    <w:p>
      <w:pPr>
        <w:spacing w:before="320" w:after="160"/>
        <w:jc w:val="center"/>
      </w:pPr>
      <w:r>
        <w:rPr>
          <w:rFonts w:ascii="Calibri" w:hAnsi="Calibri"/>
          <w:b/>
          <w:color w:val="0F2942"/>
          <w:sz w:val="44"/>
        </w:rPr>
        <w:t>DEEPSENSE 6G MULTIMODAL V2V BEAM TRACKING WITH CONFORMAL RISK CONTROL</w:t>
      </w:r>
    </w:p>
    <w:p>
      <w:pPr>
        <w:spacing w:before="80" w:after="720"/>
        <w:jc w:val="center"/>
      </w:pPr>
      <w:r>
        <w:rPr>
          <w:rFonts w:ascii="Calibri" w:hAnsi="Calibri"/>
          <w:color w:val="334155"/>
          <w:sz w:val="23"/>
        </w:rPr>
        <w:t>A Deep Learning Framework Fusing RGB Vision, GPS Kinematics, and Phased-Array RF Spectra for Ultra-Low Latency Directional Alignment with Statistical Safety Guarantees</w:t>
      </w:r>
    </w:p>
    <w:p>
      <w:pPr>
        <w:spacing w:before="480" w:after="960"/>
        <w:jc w:val="center"/>
      </w:pPr>
      <w:r>
        <w:rPr>
          <w:rFonts w:ascii="Calibri" w:hAnsi="Calibri"/>
          <w:color w:val="1E293B"/>
          <w:sz w:val="20"/>
        </w:rPr>
        <w:t>A Project Report Submitted in Partial Fulfillment of the Requirements</w:t>
        <w:br/>
        <w:t>for the Degree of Bachelor of Science in Computer Science &amp; Engineering</w:t>
        <w:br/>
        <w:br/>
        <w:t>Prepared By:</w:t>
        <w:br/>
        <w:t>Syed Kafi (Student ID: 424-Project-Lab)</w:t>
        <w:br/>
        <w:t>Under the Supervision of Course Faculty &amp; Academic Committee</w:t>
        <w:br/>
        <w:t>Date of Submission: August 2026</w:t>
      </w:r>
    </w:p>
    <w:p>
      <w:r>
        <w:br w:type="page"/>
      </w:r>
    </w:p>
    <w:p>
      <w:pPr>
        <w:keepNext/>
        <w:spacing w:before="360" w:after="120"/>
      </w:pPr>
      <w:r>
        <w:rPr>
          <w:rFonts w:ascii="Calibri" w:hAnsi="Calibri"/>
          <w:b/>
          <w:color w:val="0F2942"/>
          <w:sz w:val="30"/>
        </w:rPr>
        <w:t>DECLARATION OF ORIGINALITY &amp; CERTIFICATE OF APPROVAL</w:t>
      </w:r>
    </w:p>
    <w:p>
      <w:pPr>
        <w:spacing w:before="40" w:after="100" w:line="283" w:lineRule="auto"/>
      </w:pPr>
      <w:r>
        <w:rPr>
          <w:rFonts w:ascii="Calibri" w:hAnsi="Calibri"/>
          <w:color w:val="334155"/>
          <w:sz w:val="21"/>
        </w:rPr>
        <w:t>I hereby declare that this project report entitled 'DeepSense 6G Multimodal V2V Beam Tracking with Conformal Risk Control' represents my original academic and scientific work. All empirical datasets, models, neural network architectures, and evaluation methodologies have been executed and documented in accordance with institutional academic integrity policies. All literature, open-source resources, and foundational research papers referenced within this report have been explicitly cited.</w:t>
      </w:r>
    </w:p>
    <w:p>
      <w:pPr>
        <w:spacing w:before="40" w:after="100" w:line="283" w:lineRule="auto"/>
      </w:pPr>
      <w:r>
        <w:rPr>
          <w:rFonts w:ascii="Calibri" w:hAnsi="Calibri"/>
          <w:color w:val="334155"/>
          <w:sz w:val="21"/>
        </w:rPr>
        <w:t>This project report has been examined and evaluated by the course academic committee and is hereby approved in partial fulfillment of the requirements for Course CSE 424: Pattern Recognition &amp; Machine Learning.</w:t>
      </w:r>
    </w:p>
    <w:tbl>
      <w:tblPr>
        <w:tblW w:type="auto" w:w="0"/>
        <w:jc w:val="center"/>
        <w:tblLook w:firstColumn="1" w:firstRow="1" w:lastColumn="0" w:lastRow="0" w:noHBand="0" w:noVBand="1" w:val="04A0"/>
      </w:tblPr>
      <w:tblGrid>
        <w:gridCol w:w="4680"/>
        <w:gridCol w:w="4680"/>
      </w:tblGrid>
      <w:tr>
        <w:tc>
          <w:tcPr>
            <w:tcW w:type="dxa" w:w="4608"/>
            <w:tcMar>
              <w:top w:w="80" w:type="dxa"/>
              <w:bottom w:w="20" w:type="dxa"/>
              <w:left w:w="40" w:type="dxa"/>
              <w:right w:w="40" w:type="dxa"/>
            </w:tcMar>
          </w:tcPr>
          <w:p>
            <w:r>
              <w:rPr>
                <w:rFonts w:ascii="Calibri" w:hAnsi="Calibri"/>
                <w:color w:val="64748B"/>
                <w:sz w:val="19"/>
              </w:rPr>
              <w:t>_____________________________________</w:t>
              <w:br/>
              <w:t>Candidate Signature:</w:t>
            </w:r>
          </w:p>
        </w:tc>
        <w:tc>
          <w:tcPr>
            <w:tcW w:type="dxa" w:w="4608"/>
            <w:tcMar>
              <w:top w:w="80" w:type="dxa"/>
              <w:bottom w:w="20" w:type="dxa"/>
              <w:left w:w="40" w:type="dxa"/>
              <w:right w:w="40" w:type="dxa"/>
            </w:tcMar>
          </w:tcPr>
          <w:p>
            <w:r>
              <w:rPr>
                <w:rFonts w:ascii="Calibri" w:hAnsi="Calibri"/>
                <w:color w:val="64748B"/>
                <w:sz w:val="19"/>
              </w:rPr>
              <w:t>_____________________________________</w:t>
              <w:br/>
              <w:t>Course Examiner / Supervisor:</w:t>
            </w:r>
          </w:p>
        </w:tc>
      </w:tr>
      <w:tr>
        <w:tc>
          <w:tcPr>
            <w:tcW w:type="dxa" w:w="4608"/>
            <w:tcMar>
              <w:top w:w="20" w:type="dxa"/>
              <w:bottom w:w="80" w:type="dxa"/>
              <w:left w:w="40" w:type="dxa"/>
              <w:right w:w="40" w:type="dxa"/>
            </w:tcMar>
          </w:tcPr>
          <w:p>
            <w:r>
              <w:rPr>
                <w:rFonts w:ascii="Calibri" w:hAnsi="Calibri"/>
                <w:b/>
                <w:color w:val="1E293B"/>
                <w:sz w:val="19"/>
              </w:rPr>
              <w:t>Syed Kafi</w:t>
              <w:br/>
              <w:t>Principal Investigator &amp; Author</w:t>
            </w:r>
          </w:p>
        </w:tc>
        <w:tc>
          <w:tcPr>
            <w:tcW w:type="dxa" w:w="4608"/>
            <w:tcMar>
              <w:top w:w="20" w:type="dxa"/>
              <w:bottom w:w="80" w:type="dxa"/>
              <w:left w:w="40" w:type="dxa"/>
              <w:right w:w="40" w:type="dxa"/>
            </w:tcMar>
          </w:tcPr>
          <w:p>
            <w:r>
              <w:rPr>
                <w:rFonts w:ascii="Calibri" w:hAnsi="Calibri"/>
                <w:b/>
                <w:color w:val="1E293B"/>
                <w:sz w:val="19"/>
              </w:rPr>
              <w:t>Academic Faculty Committee</w:t>
              <w:br/>
              <w:t>Department of Computer Science &amp; Engineering</w:t>
            </w:r>
          </w:p>
        </w:tc>
      </w:tr>
    </w:tbl>
    <w:p>
      <w:r>
        <w:br w:type="page"/>
      </w:r>
    </w:p>
    <w:p>
      <w:pPr>
        <w:keepNext/>
        <w:spacing w:before="360" w:after="120"/>
      </w:pPr>
      <w:r>
        <w:rPr>
          <w:rFonts w:ascii="Calibri" w:hAnsi="Calibri"/>
          <w:b/>
          <w:color w:val="0F2942"/>
          <w:sz w:val="30"/>
        </w:rPr>
        <w:t>ABSTRACT</w:t>
      </w:r>
    </w:p>
    <w:p>
      <w:pPr>
        <w:spacing w:before="40" w:after="100" w:line="283" w:lineRule="auto"/>
      </w:pPr>
      <w:r>
        <w:rPr>
          <w:rFonts w:ascii="Calibri" w:hAnsi="Calibri"/>
          <w:b/>
          <w:color w:val="1E293B"/>
          <w:sz w:val="21"/>
        </w:rPr>
        <w:t xml:space="preserve">Background &amp; Problem: </w:t>
      </w:r>
      <w:r>
        <w:rPr>
          <w:rFonts w:ascii="Calibri" w:hAnsi="Calibri"/>
          <w:color w:val="334155"/>
          <w:sz w:val="21"/>
        </w:rPr>
        <w:t>Next-generation 6G Vehicle-to-Vehicle (V2V) communication is poised to revolutionize cooperative autonomous mobility by enabling gigabit-per-second sensor-sharing, cooperative perception, and high-speed convoy platooning. Operating at 60 GHz millimeter-wave (mmWave) and sub-terahertz frequencies, these links rely on razor-thin, pencil-like directional beams synthesized by phased-array antennas to overcome severe free-space path loss. However, dynamic vehicular mobility—characterized by high relative velocities, rapid lane changes, and angular turning dynamics—causes frequent beam misalignment. Conventional standards mandate exhaustive beam sweeping across all 256 codebook directions, incurring prohibitive 50–100 millisecond latency overheads (O(N) search complexity) during which vehicles travel blind.</w:t>
      </w:r>
    </w:p>
    <w:p>
      <w:pPr>
        <w:spacing w:before="40" w:after="100" w:line="283" w:lineRule="auto"/>
      </w:pPr>
      <w:r>
        <w:rPr>
          <w:rFonts w:ascii="Calibri" w:hAnsi="Calibri"/>
          <w:b/>
          <w:color w:val="1E293B"/>
          <w:sz w:val="21"/>
        </w:rPr>
        <w:t xml:space="preserve">Proposed Methodology: </w:t>
      </w:r>
      <w:r>
        <w:rPr>
          <w:rFonts w:ascii="Calibri" w:hAnsi="Calibri"/>
          <w:color w:val="334155"/>
          <w:sz w:val="21"/>
        </w:rPr>
        <w:t>To eliminate this bottleneck, this project develops an end-to-end multimodal deep sensor fusion architecture (P3_MultiTaskProfile, ~15.15M parameters) that predicts optimal mmWave beam indices and continuous received power spectra in near-O(1) time. The architecture integrates a fine-tuned ResNet-18 visual encoder (extracting spatial road geometry and vehicular bounding cues from front-facing ZED2 cameras) with a 2-layer Bidirectional Gated Recurrent Unit (Bi-GRU, encoding 9 continuous spatial-temporal kinematics variables over a 3.0-second sliding window). Modality representations are dynamically fused through a 2-layer Pre-LayerNorm Transformer Cross-Attention core with a learnable classification token, followed by decoupled heads performing simultaneous discrete 256-way beam classification and continuous RF power profile regression.</w:t>
      </w:r>
    </w:p>
    <w:p>
      <w:pPr>
        <w:spacing w:before="40" w:after="100" w:line="283" w:lineRule="auto"/>
      </w:pPr>
      <w:r>
        <w:rPr>
          <w:rFonts w:ascii="Calibri" w:hAnsi="Calibri"/>
          <w:b/>
          <w:color w:val="1E293B"/>
          <w:sz w:val="21"/>
        </w:rPr>
        <w:t xml:space="preserve">Statistical Guarantees &amp; Empirical Results: </w:t>
      </w:r>
      <w:r>
        <w:rPr>
          <w:rFonts w:ascii="Calibri" w:hAnsi="Calibri"/>
          <w:color w:val="334155"/>
          <w:sz w:val="21"/>
        </w:rPr>
        <w:t>Recognizing that uncalibrated point predictions lack reliability in safety-critical cyber-physical systems, we integrate Conformal Risk Control (CRC) and Adaptive Conformal Inference (ACI). Grounded in distribution-free statistical learning theory, CRC calibrates a compact candidate safety set C(X) that provides finite-sample statistical guarantees bounding the communication miss rate below a pre-specified risk threshold (alpha = 0.10). Evaluations on DeepSense 6G Scenario 36 across 24,179 sequence samples and 124 chronological trajectory runs (with strict zero-leakage drive-block partitioning) demonstrate that our framework achieves 68.6% validation Top-13 beam accuracy and reduces the beam search space from 256 beams down to an average of 13.9 beams—representing a 94.6% reduction in beam sweep overhead while strictly satisfying safety constraints.</w:t>
      </w:r>
    </w:p>
    <w:p>
      <w:pPr>
        <w:spacing w:before="40" w:after="100" w:line="283" w:lineRule="auto"/>
      </w:pPr>
      <w:r>
        <w:rPr>
          <w:rFonts w:ascii="Calibri" w:hAnsi="Calibri"/>
          <w:b/>
          <w:color w:val="1E293B"/>
          <w:sz w:val="21"/>
        </w:rPr>
        <w:t>Index Terms—</w:t>
      </w:r>
      <w:r>
        <w:rPr>
          <w:rFonts w:ascii="Calibri" w:hAnsi="Calibri"/>
          <w:color w:val="334155"/>
          <w:sz w:val="21"/>
        </w:rPr>
        <w:t>Keywords: 6G V2V Communication, Millimeter-Wave Beam Tracking, Deep Sensor Fusion, Vision-Kinematics Multimodal Learning, Conformal Prediction, Conformal Risk Control, Adaptive Conformal Inference, Phased-Array Codebook Optimization.</w:t>
      </w:r>
    </w:p>
    <w:p>
      <w:r>
        <w:br w:type="page"/>
      </w:r>
    </w:p>
    <w:p>
      <w:pPr>
        <w:keepNext/>
        <w:spacing w:before="360" w:after="120"/>
      </w:pPr>
      <w:r>
        <w:rPr>
          <w:rFonts w:ascii="Calibri" w:hAnsi="Calibri"/>
          <w:b/>
          <w:color w:val="0F2942"/>
          <w:sz w:val="30"/>
        </w:rPr>
        <w:t>CHAPTER 1: INTRODUCTION &amp; PROBLEM STATEMENT</w:t>
      </w:r>
    </w:p>
    <w:p>
      <w:pPr>
        <w:keepNext/>
        <w:spacing w:before="240" w:after="80"/>
      </w:pPr>
      <w:r>
        <w:rPr>
          <w:rFonts w:ascii="Calibri" w:hAnsi="Calibri"/>
          <w:b/>
          <w:color w:val="2563EB"/>
          <w:sz w:val="25"/>
        </w:rPr>
        <w:t>1.1 The Connected Autonomous Vehicle (CAV) Paradigm</w:t>
      </w:r>
    </w:p>
    <w:p>
      <w:pPr>
        <w:spacing w:before="40" w:after="100" w:line="283" w:lineRule="auto"/>
      </w:pPr>
      <w:r>
        <w:rPr>
          <w:rFonts w:ascii="Calibri" w:hAnsi="Calibri"/>
          <w:color w:val="334155"/>
          <w:sz w:val="21"/>
        </w:rPr>
        <w:t>The realization of Level 4 and Level 5 autonomous driving requires vehicles to cooperate beyond the optical and physical limits of onboard sensing. While state-of-the-art camera, LiDAR, and radar suites provide local perception, an isolated vehicle remains vulnerable to blind corners, occluding heavy trucks, and sudden braking hazards beyond its direct line-of-sight (LOS). Connected Autonomous Vehicles (CAVs) overcome this fundamental constraint by sharing raw 3D point clouds, semantic occupancy grids, and real-time video streams through Vehicle-to-Vehicle (V2V) communications.</w:t>
      </w:r>
    </w:p>
    <w:p>
      <w:pPr>
        <w:spacing w:before="40" w:after="100" w:line="283" w:lineRule="auto"/>
      </w:pPr>
      <w:r>
        <w:rPr>
          <w:rFonts w:ascii="Calibri" w:hAnsi="Calibri"/>
          <w:color w:val="334155"/>
          <w:sz w:val="21"/>
        </w:rPr>
        <w:t>However, streaming high-definition multimodal telemetry demands raw wireless throughput exceeding 10 to 20 Gigabits per second (Gbps) with end-to-end latencies under 5 milliseconds. Legacy Dedicated Short-Range Communications (DSRC) and cellular V2X (C-V2X) operating in congested sub-6 GHz spectrums cannot support these bandwidth-intensive applications, necessitating a paradigm shift to 60 GHz millimeter-wave (mmWave) and sub-terahertz frequencies.</w:t>
      </w:r>
    </w:p>
    <w:p>
      <w:pPr>
        <w:keepNext/>
        <w:spacing w:before="240" w:after="80"/>
      </w:pPr>
      <w:r>
        <w:rPr>
          <w:rFonts w:ascii="Calibri" w:hAnsi="Calibri"/>
          <w:b/>
          <w:color w:val="2563EB"/>
          <w:sz w:val="25"/>
        </w:rPr>
        <w:t>1.2 Physics of Millimeter-Wave (60 GHz) Propagation</w:t>
      </w:r>
    </w:p>
    <w:p>
      <w:pPr>
        <w:spacing w:before="40" w:after="100" w:line="283" w:lineRule="auto"/>
      </w:pPr>
      <w:r>
        <w:rPr>
          <w:rFonts w:ascii="Calibri" w:hAnsi="Calibri"/>
          <w:b/>
          <w:color w:val="1E293B"/>
          <w:sz w:val="21"/>
        </w:rPr>
        <w:t xml:space="preserve">The High-Frequency Tradeoff: </w:t>
      </w:r>
      <w:r>
        <w:rPr>
          <w:rFonts w:ascii="Calibri" w:hAnsi="Calibri"/>
          <w:color w:val="334155"/>
          <w:sz w:val="21"/>
        </w:rPr>
        <w:t>Electromagnetic waves at 60 GHz exhibit profound physical propagation differences compared to legacy sub-6 GHz radio waves. According to the Friis transmission equation, free-space path loss scales quadratically with carrier frequency f:</w:t>
      </w:r>
    </w:p>
    <w:p>
      <w:pPr>
        <w:spacing w:before="40" w:after="100" w:line="283" w:lineRule="auto"/>
      </w:pPr>
      <w:r>
        <w:rPr>
          <w:rFonts w:ascii="Calibri" w:hAnsi="Calibri"/>
          <w:color w:val="334155"/>
          <w:sz w:val="21"/>
        </w:rPr>
        <w:t>FSPL(d, f) = 20 log10(d) + 20 log10(f) + 20 log10(4*pi / c)</w:t>
        <w:br/>
        <w:t>At 60 GHz, isotropic path loss is roughly 40 dB more severe than at 600 MHz. Furthermore, atmospheric resonance—specifically molecular oxygen (O2) absorption—adds an additional 15 dB/km of signal attenuation.</w:t>
      </w:r>
    </w:p>
    <w:p>
      <w:pPr>
        <w:spacing w:before="40" w:after="100" w:line="283" w:lineRule="auto"/>
      </w:pPr>
      <w:r>
        <w:rPr>
          <w:rFonts w:ascii="Calibri" w:hAnsi="Calibri"/>
          <w:color w:val="334155"/>
          <w:sz w:val="21"/>
        </w:rPr>
        <w:t>To overcome this extreme attenuation and achieve acceptable Signal-to-Noise Ratios (SNR), mmWave transceivers deploy large antenna arrays (e.g., 64 elements per panel) to synthesize highly directional, high-gain pencil beams. While this spatial focusing concentrates RF energy over long distances, it transforms wireless communication into a geometric alignment problem: the transmitter and receiver must continuously point their beams at each other with sub-degree accuracy.</w:t>
      </w:r>
    </w:p>
    <w:p>
      <w:pPr>
        <w:keepNext/>
        <w:spacing w:before="240" w:after="80"/>
      </w:pPr>
      <w:r>
        <w:rPr>
          <w:rFonts w:ascii="Calibri" w:hAnsi="Calibri"/>
          <w:b/>
          <w:color w:val="2563EB"/>
          <w:sz w:val="25"/>
        </w:rPr>
        <w:t>1.3 The Beam Sweeping Bottleneck: O(N) Search Latency</w:t>
      </w:r>
    </w:p>
    <w:p>
      <w:pPr>
        <w:spacing w:before="40" w:after="100" w:line="283" w:lineRule="auto"/>
      </w:pPr>
      <w:r>
        <w:rPr>
          <w:rFonts w:ascii="Calibri" w:hAnsi="Calibri"/>
          <w:b/>
          <w:color w:val="1E293B"/>
          <w:sz w:val="21"/>
        </w:rPr>
        <w:t xml:space="preserve">The Latency Penalty: </w:t>
      </w:r>
      <w:r>
        <w:rPr>
          <w:rFonts w:ascii="Calibri" w:hAnsi="Calibri"/>
          <w:color w:val="334155"/>
          <w:sz w:val="21"/>
        </w:rPr>
        <w:t>In traditional standards (e.g., IEEE 802.11ad/ay and 5G NR Rel-16), beam alignment is executed through an exhaustive beam sweep. Unit 1 (the receiver) and Unit 2 (the transmitter) sequentially iterate through all pre-defined beam codebook pairs to measure reference signal received power (RSRP). In a 256-beam codebook architecture (4 antenna panels x 64 beams), probing every combination consumes 50 to 100 milliseconds.</w:t>
      </w:r>
    </w:p>
    <w:p>
      <w:pPr>
        <w:spacing w:before="40" w:after="100" w:line="283" w:lineRule="auto"/>
      </w:pPr>
      <w:r>
        <w:rPr>
          <w:rFonts w:ascii="Calibri" w:hAnsi="Calibri"/>
          <w:color w:val="334155"/>
          <w:sz w:val="21"/>
        </w:rPr>
        <w:t>In high-speed vehicular mobility (e.g., vehicles passing at 70 mph / 31.3 m/s), vehicles traverse over 3 meters of physical distance during a 100 ms sweep. By the time beam #256 is evaluated, the optimal beam direction has already shifted. This induces chronic beam misalignment, severe packet loss, and frequent link re-establishment overheads that consume up to 30% of total spectral capacity.</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left w:val="single" w:sz="28" w:space="0" w:color="2563EB"/>
              <w:top w:val="none"/>
              <w:right w:val="none"/>
              <w:bottom w:val="none"/>
            </w:tcBorders>
          </w:tcPr>
          <w:p>
            <w:pPr>
              <w:spacing w:before="40" w:after="80"/>
            </w:pPr>
            <w:r>
              <w:rPr>
                <w:rFonts w:ascii="Calibri" w:hAnsi="Calibri"/>
                <w:b/>
                <w:color w:val="0F2942"/>
                <w:sz w:val="21"/>
              </w:rPr>
              <w:t>📌 Core Research Problem Definition</w:t>
              <w:br/>
            </w:r>
          </w:p>
          <w:p>
            <w:pPr>
              <w:spacing w:before="40" w:after="60" w:line="276" w:lineRule="auto"/>
            </w:pPr>
            <w:r>
              <w:rPr>
                <w:rFonts w:ascii="Calibri" w:hAnsi="Calibri"/>
                <w:color w:val="334155"/>
                <w:sz w:val="19"/>
              </w:rPr>
              <w:t>• Problem: Exhaustive mmWave beam alignment is an O(N) sequential search protocol whose latency (50-100 ms) causes catastrophic link failure in dynamic V2V mobility.</w:t>
            </w:r>
          </w:p>
          <w:p>
            <w:pPr>
              <w:spacing w:before="40" w:after="60" w:line="276" w:lineRule="auto"/>
            </w:pPr>
            <w:r>
              <w:rPr>
                <w:rFonts w:ascii="Calibri" w:hAnsi="Calibri"/>
                <w:color w:val="334155"/>
                <w:sz w:val="19"/>
              </w:rPr>
              <w:t>• Proposed Solution: An out-of-band deep sensor fusion pipeline leveraging passive onboard sensors (GPS and Camera) to predict the optimal 60 GHz beam in near-O(1) time.</w:t>
            </w:r>
          </w:p>
          <w:p>
            <w:pPr>
              <w:spacing w:before="40" w:after="60" w:line="276" w:lineRule="auto"/>
            </w:pPr>
            <w:r>
              <w:rPr>
                <w:rFonts w:ascii="Calibri" w:hAnsi="Calibri"/>
                <w:color w:val="334155"/>
                <w:sz w:val="19"/>
              </w:rPr>
              <w:t>• Safety Mandate: Uncalibrated deep neural networks cannot guarantee reliability. The framework must provide formal, distribution-free statistical risk guarantees bounding communication failure under non-stationary trajectory drift.</w:t>
            </w:r>
          </w:p>
        </w:tc>
      </w:tr>
    </w:tbl>
    <w:p>
      <w:pPr>
        <w:spacing w:before="0" w:after="80"/>
      </w:pPr>
    </w:p>
    <w:p>
      <w:pPr>
        <w:keepNext/>
        <w:spacing w:before="240" w:after="80"/>
      </w:pPr>
      <w:r>
        <w:rPr>
          <w:rFonts w:ascii="Calibri" w:hAnsi="Calibri"/>
          <w:b/>
          <w:color w:val="2563EB"/>
          <w:sz w:val="25"/>
        </w:rPr>
        <w:t>1.4 Mathematical Problem Formulation</w:t>
      </w:r>
    </w:p>
    <w:p>
      <w:pPr>
        <w:spacing w:before="40" w:after="100" w:line="283" w:lineRule="auto"/>
      </w:pPr>
      <w:r>
        <w:rPr>
          <w:rFonts w:ascii="Calibri" w:hAnsi="Calibri"/>
          <w:b/>
          <w:color w:val="1E293B"/>
          <w:sz w:val="21"/>
        </w:rPr>
        <w:t xml:space="preserve">System Formulation: </w:t>
      </w:r>
      <w:r>
        <w:rPr>
          <w:rFonts w:ascii="Calibri" w:hAnsi="Calibri"/>
          <w:color w:val="334155"/>
          <w:sz w:val="21"/>
        </w:rPr>
        <w:t>Let S_t = { (x_GPS,tau, x_RGB,tau) }_{tau = t - T + 1}^t denote the temporal multimodal observation history over T past time frames up to current timestamp t. Let B = {0, 1, ..., N_b - 1} represent the discrete phased-array beam codebook of size N_b = 256, and let p_t in R^{N_b} denote the ground-truth received power vector (in dBm) across all 256 beams.</w:t>
      </w:r>
    </w:p>
    <w:p>
      <w:pPr>
        <w:spacing w:before="40" w:after="100" w:line="283" w:lineRule="auto"/>
      </w:pPr>
      <w:r>
        <w:rPr>
          <w:rFonts w:ascii="Calibri" w:hAnsi="Calibri"/>
          <w:color w:val="334155"/>
          <w:sz w:val="21"/>
        </w:rPr>
        <w:t>The optimal beam index b*_t is defined as the beam maximizing received power:</w:t>
        <w:br/>
        <w:t>b*_t = argmax_{b in B} p_t[b]</w:t>
        <w:br/>
        <w:t>The objective of our multimodal learning framework is twofold:</w:t>
        <w:br/>
        <w:t>1. Discrete Classification Head f_cls(S_t) -&gt; y_hat in Delta^{N_b}: Predicts the probability distribution over optimal beam candidates.</w:t>
        <w:br/>
        <w:t>2. Continuous Power Profile Regression Head f_reg(S_t) -&gt; p_hat in R^{N_b}: Reconstructs the continuous 256-beam spatial energy profile.</w:t>
        <w:br/>
        <w:t>3. Conformal Safety Mapping C(S_t) subseteq B: Calibrates a minimal candidate set of beams guaranteed to contain b*_t with bounded power loss Delta_dB at statistical confidence 1 - alpha.</w:t>
      </w:r>
    </w:p>
    <w:p>
      <w:pPr>
        <w:keepNext/>
        <w:spacing w:before="360" w:after="120"/>
      </w:pPr>
      <w:r>
        <w:rPr>
          <w:rFonts w:ascii="Calibri" w:hAnsi="Calibri"/>
          <w:b/>
          <w:color w:val="0F2942"/>
          <w:sz w:val="30"/>
        </w:rPr>
        <w:t>CHAPTER 2: RELATED WORK &amp; THEORETICAL FOUNDATIONS</w:t>
      </w:r>
    </w:p>
    <w:p>
      <w:pPr>
        <w:keepNext/>
        <w:spacing w:before="240" w:after="80"/>
      </w:pPr>
      <w:r>
        <w:rPr>
          <w:rFonts w:ascii="Calibri" w:hAnsi="Calibri"/>
          <w:b/>
          <w:color w:val="2563EB"/>
          <w:sz w:val="25"/>
        </w:rPr>
        <w:t>2.1 Conventional Beam Alignment Standards</w:t>
      </w:r>
    </w:p>
    <w:p>
      <w:pPr>
        <w:spacing w:before="40" w:after="100" w:line="283" w:lineRule="auto"/>
      </w:pPr>
      <w:r>
        <w:rPr>
          <w:rFonts w:ascii="Calibri" w:hAnsi="Calibri"/>
          <w:color w:val="334155"/>
          <w:sz w:val="21"/>
        </w:rPr>
        <w:t>Conventional beam training in millimeter-wave wireless networks is standardized under IEEE 802.11ad/ay and 3GPP New Radio (5G NR). These standards rely on two-stage hierarchical search algorithms: wide-beam sector sweeps followed by narrow-beam refinement sweeps. While effective for stationary indoors or low-mobility cellular user equipment (UE), hierarchical sweeping remains fundamentally in-band: it consumes valuable RF channel bandwidth and experiences severe performance collapse under non-stationary angular velocities exceeding 10 degrees/second.</w:t>
      </w:r>
    </w:p>
    <w:p>
      <w:pPr>
        <w:keepNext/>
        <w:spacing w:before="240" w:after="80"/>
      </w:pPr>
      <w:r>
        <w:rPr>
          <w:rFonts w:ascii="Calibri" w:hAnsi="Calibri"/>
          <w:b/>
          <w:color w:val="2563EB"/>
          <w:sz w:val="25"/>
        </w:rPr>
        <w:t>2.2 Out-of-Band Sensor-Assisted Beam Tracking</w:t>
      </w:r>
    </w:p>
    <w:p>
      <w:pPr>
        <w:spacing w:before="40" w:after="100" w:line="283" w:lineRule="auto"/>
      </w:pPr>
      <w:r>
        <w:rPr>
          <w:rFonts w:ascii="Calibri" w:hAnsi="Calibri"/>
          <w:b/>
          <w:color w:val="1E293B"/>
          <w:sz w:val="21"/>
        </w:rPr>
        <w:t xml:space="preserve">Sensing-Assisted Communications: </w:t>
      </w:r>
      <w:r>
        <w:rPr>
          <w:rFonts w:ascii="Calibri" w:hAnsi="Calibri"/>
          <w:color w:val="334155"/>
          <w:sz w:val="21"/>
        </w:rPr>
        <w:t>To decouple beam training from RF channel overhead, recent literature explores out-of-band sensor assistance:</w:t>
      </w:r>
    </w:p>
    <w:p>
      <w:pPr>
        <w:spacing w:before="40" w:after="100" w:line="283" w:lineRule="auto"/>
      </w:pPr>
      <w:r>
        <w:rPr>
          <w:rFonts w:ascii="Calibri" w:hAnsi="Calibri"/>
          <w:color w:val="334155"/>
          <w:sz w:val="21"/>
        </w:rPr>
        <w:t>• GPS/Kinematics-Assisted Approaches: Early works by Alrabeiah and Heath utilize GNSS coordinates to compute geometric line-of-sight angles. While computationally lightweight, pure GPS tracking fails due to multipath GNSS errors (5–10m drift in urban canyons) and lack of visual obstacle awareness.</w:t>
        <w:br/>
        <w:t>• Vision-Assisted Approaches: Subsequent works (e.g., Charan et al.) deploy convolutional neural networks to predict beam indices directly from camera imagery. However, cameras suffer from lighting variations, adverse weather (fog, rain), and lack metric depth velocity information.</w:t>
        <w:br/>
        <w:t>• Multimodal Sensor Fusion: Our work builds upon the DeepSense 6G vision by formally fusing spatial kinematics and computer vision, showing that each modality compensates for the other's physical failure modes.</w:t>
      </w:r>
    </w:p>
    <w:p>
      <w:pPr>
        <w:keepNext/>
        <w:spacing w:before="240" w:after="80"/>
      </w:pPr>
      <w:r>
        <w:rPr>
          <w:rFonts w:ascii="Calibri" w:hAnsi="Calibri"/>
          <w:b/>
          <w:color w:val="2563EB"/>
          <w:sz w:val="25"/>
        </w:rPr>
        <w:t>2.3 Conformal Prediction &amp; Statistical Uncertainty Quantification</w:t>
      </w:r>
    </w:p>
    <w:p>
      <w:pPr>
        <w:spacing w:before="40" w:after="100" w:line="283" w:lineRule="auto"/>
      </w:pPr>
      <w:r>
        <w:rPr>
          <w:rFonts w:ascii="Calibri" w:hAnsi="Calibri"/>
          <w:b/>
          <w:color w:val="1E293B"/>
          <w:sz w:val="21"/>
        </w:rPr>
        <w:t xml:space="preserve">Theoretical Guarantees: </w:t>
      </w:r>
      <w:r>
        <w:rPr>
          <w:rFonts w:ascii="Calibri" w:hAnsi="Calibri"/>
          <w:color w:val="334155"/>
          <w:sz w:val="21"/>
        </w:rPr>
        <w:t>Conformal Prediction, founded by Vladimir Vovk and modernized by Angelopoulos, Bates, and Candès, provides a distribution-free framework for quantifying predictive uncertainty. Unlike heuristic Bayesian deep learning or dropout-based Monte Carlo methods—which require strong parametric assumptions and lack exact finite-sample guarantees—conformal prediction constructs prediction sets C(X) that satisfy:</w:t>
      </w:r>
    </w:p>
    <w:p>
      <w:pPr>
        <w:spacing w:before="40" w:after="100" w:line="283" w:lineRule="auto"/>
      </w:pPr>
      <w:r>
        <w:rPr>
          <w:rFonts w:ascii="Calibri" w:hAnsi="Calibri"/>
          <w:color w:val="334155"/>
          <w:sz w:val="21"/>
        </w:rPr>
        <w:t>P( Y in C(X) ) &gt;= 1 - alpha</w:t>
        <w:br/>
        <w:t>where alpha in (0, 1) is a user-selected error tolerance (e.g., alpha = 0.10 for 90% coverage). In this work, we extend conformal prediction to continuous RF power loss control via Conformal Risk Control (CRC) and dynamic Adaptive Conformal Inference (ACI).</w:t>
      </w:r>
    </w:p>
    <w:p>
      <w:pPr>
        <w:keepNext/>
        <w:spacing w:before="360" w:after="120"/>
      </w:pPr>
      <w:r>
        <w:rPr>
          <w:rFonts w:ascii="Calibri" w:hAnsi="Calibri"/>
          <w:b/>
          <w:color w:val="0F2942"/>
          <w:sz w:val="30"/>
        </w:rPr>
        <w:t>CHAPTER 3: DATASET ARCHITECTURE &amp; EXPERIMENTAL METHODOLOGY</w:t>
      </w:r>
    </w:p>
    <w:p>
      <w:pPr>
        <w:keepNext/>
        <w:spacing w:before="240" w:after="80"/>
      </w:pPr>
      <w:r>
        <w:rPr>
          <w:rFonts w:ascii="Calibri" w:hAnsi="Calibri"/>
          <w:b/>
          <w:color w:val="2563EB"/>
          <w:sz w:val="25"/>
        </w:rPr>
        <w:t>3.1 DeepSense 6G Scenario 36 Experimental Testbed</w:t>
      </w:r>
    </w:p>
    <w:p>
      <w:pPr>
        <w:spacing w:before="40" w:after="100" w:line="283" w:lineRule="auto"/>
      </w:pPr>
      <w:r>
        <w:rPr>
          <w:rFonts w:ascii="Calibri" w:hAnsi="Calibri"/>
          <w:b/>
          <w:color w:val="1E293B"/>
          <w:sz w:val="21"/>
        </w:rPr>
        <w:t xml:space="preserve">Hardware Platform: </w:t>
      </w:r>
      <w:r>
        <w:rPr>
          <w:rFonts w:ascii="Calibri" w:hAnsi="Calibri"/>
          <w:color w:val="334155"/>
          <w:sz w:val="21"/>
        </w:rPr>
        <w:t>This project utilizes the real-world DeepSense 6G Scenario 36 multi-modal V2V benchmark dataset, collected in dynamic urban and suburban roadway conditions. The physical testbed comprises two instrumented research vehicles:</w:t>
      </w:r>
    </w:p>
    <w:p>
      <w:pPr>
        <w:spacing w:before="40" w:after="100" w:line="283" w:lineRule="auto"/>
      </w:pPr>
      <w:r>
        <w:rPr>
          <w:rFonts w:ascii="Calibri" w:hAnsi="Calibri"/>
          <w:color w:val="334155"/>
          <w:sz w:val="21"/>
        </w:rPr>
        <w:t>1. Unit 1 (Receiver Vehicle — Ford Transit Van): Equipped with four 60 GHz 64-element planar phased-array antenna panels mounted on the roof rack, delivering a total codebook of 256 beams covering 360-degree azimuth. Unit 1 also features a roof-mounted forward-facing ZED2 stereo RGB camera and high-precision RTK-GPS telemetry.</w:t>
        <w:br/>
        <w:t>2. Unit 2 (Transmitter Vehicle — Lincoln MKZ Sedan): Equipped with a 60 GHz quasi-omnidirectional beacon antenna transmitting reference signals, synchronized with onboard RTK-GPS telemetry.</w:t>
      </w:r>
    </w:p>
    <w:p>
      <w:pPr>
        <w:keepNext/>
        <w:spacing w:before="240" w:after="80"/>
      </w:pPr>
      <w:r>
        <w:rPr>
          <w:rFonts w:ascii="Calibri" w:hAnsi="Calibri"/>
          <w:b/>
          <w:color w:val="2563EB"/>
          <w:sz w:val="25"/>
        </w:rPr>
        <w:t>3.2 Multimodal Data Streams &amp; Schema</w:t>
      </w:r>
    </w:p>
    <w:p>
      <w:pPr>
        <w:spacing w:before="40" w:after="100" w:line="283" w:lineRule="auto"/>
      </w:pPr>
      <w:r>
        <w:rPr>
          <w:rFonts w:ascii="Calibri" w:hAnsi="Calibri"/>
          <w:color w:val="334155"/>
          <w:sz w:val="21"/>
        </w:rPr>
        <w:t>The dataset contains 24,799 raw multi-modal synchronized observation frames across 124 distinct vehicle drives. Each frame encapsulates synchronized measurements across three physical domains:</w:t>
        <w:br/>
        <w:t>• RF Domain: Four 64-element power vectors (unit1_pwr1, pwr2, pwr3, pwr4) concatenated into a 256-element power vector in linear milliwatts (mW).</w:t>
        <w:br/>
        <w:t>• Visual Domain: Forward-looking RGB stereo camera frames (1920x1080 resolution at 10 Hz).</w:t>
        <w:br/>
        <w:t>• Kinematics Domain: RTK-GPS coordinates (latitude, longitude, altitude), speeds, compass headings, and dilution-of-precision (HDOP/VDOP) metrics.</w:t>
      </w:r>
    </w:p>
    <w:p>
      <w:pPr>
        <w:keepNext/>
        <w:spacing w:before="240" w:after="80"/>
      </w:pPr>
      <w:r>
        <w:rPr>
          <w:rFonts w:ascii="Calibri" w:hAnsi="Calibri"/>
          <w:b/>
          <w:color w:val="2563EB"/>
          <w:sz w:val="25"/>
        </w:rPr>
        <w:t>3.3 Kinematic Feature Engineering &amp; Trigonometric Encoding</w:t>
      </w:r>
    </w:p>
    <w:p>
      <w:pPr>
        <w:spacing w:before="40" w:after="100" w:line="283" w:lineRule="auto"/>
      </w:pPr>
      <w:r>
        <w:rPr>
          <w:rFonts w:ascii="Calibri" w:hAnsi="Calibri"/>
          <w:b/>
          <w:color w:val="1E293B"/>
          <w:sz w:val="21"/>
        </w:rPr>
        <w:t xml:space="preserve">Kinematic Variables: </w:t>
      </w:r>
      <w:r>
        <w:rPr>
          <w:rFonts w:ascii="Calibri" w:hAnsi="Calibri"/>
          <w:color w:val="334155"/>
          <w:sz w:val="21"/>
        </w:rPr>
        <w:t>Directly feeding raw latitude/longitude coordinates to neural networks leads to severe numerical instability due to unbounded planetary scale. We engineer 9 continuous spatial kinematic features over a 30-frame temporal window (T_gps = 30, corresponding to 3.0 seconds at 10 Hz):</w:t>
      </w:r>
    </w:p>
    <w:p>
      <w:pPr>
        <w:spacing w:before="40" w:after="100" w:line="283" w:lineRule="auto"/>
      </w:pPr>
      <w:r>
        <w:rPr>
          <w:rFonts w:ascii="Calibri" w:hAnsi="Calibri"/>
          <w:color w:val="334155"/>
          <w:sz w:val="21"/>
        </w:rPr>
        <w:t>1. Relative Displacements: Delta_lat = Lat_Unit2 - Lat_Unit1, Delta_lon = Lon_Unit2 - Lon_Unit1</w:t>
        <w:br/>
        <w:t>2. Euclidean Distance: d = sqrt(Delta_lat^2 + Delta_lon^2) * 111,000 meters</w:t>
        <w:br/>
        <w:t>3. Azimuth Bearing Angle: theta = arctan2(Delta_lon, Delta_lat) in [-pi, pi] radians</w:t>
        <w:br/>
        <w:t>4. Trigonometric Projections: sin(theta) and cos(theta)</w:t>
        <w:br/>
        <w:t>5. Temporal Angular Rate: d(theta)/dt = gradient(theta)</w:t>
        <w:br/>
        <w:t>6. Range Closing Rate: d(d)/dt = gradient(d)</w:t>
        <w:br/>
        <w:t>7. Receiver Speed: v1 (instantaneous velocity in m/s)</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200" w:type="dxa"/>
              <w:right w:w="180" w:type="dxa"/>
            </w:tcMar>
            <w:tcBorders>
              <w:left w:val="single" w:sz="28" w:space="0" w:color="2563EB"/>
              <w:top w:val="none"/>
              <w:right w:val="none"/>
              <w:bottom w:val="none"/>
            </w:tcBorders>
          </w:tcPr>
          <w:p>
            <w:pPr>
              <w:spacing w:before="40" w:after="80"/>
            </w:pPr>
            <w:r>
              <w:rPr>
                <w:rFonts w:ascii="Calibri" w:hAnsi="Calibri"/>
                <w:b/>
                <w:color w:val="0F2942"/>
                <w:sz w:val="21"/>
              </w:rPr>
              <w:t>📌 Pedagogical Analysis: Why sin(theta) and cos(theta) are Mathematically Essential</w:t>
              <w:br/>
            </w:r>
          </w:p>
          <w:p>
            <w:pPr>
              <w:spacing w:before="40" w:after="60" w:line="276" w:lineRule="auto"/>
            </w:pPr>
            <w:r>
              <w:rPr>
                <w:rFonts w:ascii="Calibri" w:hAnsi="Calibri"/>
                <w:color w:val="334155"/>
                <w:sz w:val="19"/>
              </w:rPr>
              <w:t>Consider a vehicle directly behind the receiver at bearing -179 degrees (-3.124 rad). A slight 2-degree steering adjustment shifts the bearing to +179 degrees (+3.124 rad).</w:t>
            </w:r>
          </w:p>
          <w:p>
            <w:pPr>
              <w:spacing w:before="40" w:after="60" w:line="276" w:lineRule="auto"/>
            </w:pPr>
            <w:r>
              <w:rPr>
                <w:rFonts w:ascii="Calibri" w:hAnsi="Calibri"/>
                <w:color w:val="334155"/>
                <w:sz w:val="19"/>
              </w:rPr>
              <w:t>To the physical antennas, the transmitter's position has barely moved. But to a neural network observing raw theta, the input value jumps across a massive 358-degree numerical cliff (from -3.124 to +3.124).</w:t>
            </w:r>
          </w:p>
          <w:p>
            <w:pPr>
              <w:spacing w:before="40" w:after="60" w:line="276" w:lineRule="auto"/>
            </w:pPr>
            <w:r>
              <w:rPr>
                <w:rFonts w:ascii="Calibri" w:hAnsi="Calibri"/>
                <w:color w:val="334155"/>
                <w:sz w:val="19"/>
              </w:rPr>
              <w:t>This modular boundary discontinuity produces explosive loss gradients. Decomposing theta into orthogonal components (sin(theta), cos(theta)) eliminates the cliff entirely: both functions are smooth, infinitely differentiable, and bounded in [-1, +1].</w:t>
            </w:r>
          </w:p>
        </w:tc>
      </w:tr>
    </w:tbl>
    <w:p>
      <w:pPr>
        <w:spacing w:before="0" w:after="80"/>
      </w:pPr>
    </w:p>
    <w:p>
      <w:pPr>
        <w:keepNext/>
        <w:spacing w:before="240" w:after="80"/>
      </w:pPr>
      <w:r>
        <w:rPr>
          <w:rFonts w:ascii="Calibri" w:hAnsi="Calibri"/>
          <w:b/>
          <w:color w:val="2563EB"/>
          <w:sz w:val="25"/>
        </w:rPr>
        <w:t>3.4 Zero-Leakage Chronological Trajectory Partitioning</w:t>
      </w:r>
    </w:p>
    <w:p>
      <w:pPr>
        <w:spacing w:before="40" w:after="100" w:line="283" w:lineRule="auto"/>
      </w:pPr>
      <w:r>
        <w:rPr>
          <w:rFonts w:ascii="Calibri" w:hAnsi="Calibri"/>
          <w:b/>
          <w:color w:val="1E293B"/>
          <w:sz w:val="21"/>
        </w:rPr>
        <w:t xml:space="preserve">The Data Rigor Challenge: </w:t>
      </w:r>
      <w:r>
        <w:rPr>
          <w:rFonts w:ascii="Calibri" w:hAnsi="Calibri"/>
          <w:color w:val="334155"/>
          <w:sz w:val="21"/>
        </w:rPr>
        <w:t>A critical methodology contribution of this project is the enforcement of the Zero-Leakage Trajectory Block Protocol. Standard random row splitting in sequential time-series causes severe data leakage: two adjacent samples share 29 overlapping time frames, allowing the model to achieve artificially inflated test scores through temporal memorization.</w:t>
      </w:r>
    </w:p>
    <w:p>
      <w:pPr>
        <w:spacing w:before="40" w:after="100" w:line="283" w:lineRule="auto"/>
      </w:pPr>
      <w:r>
        <w:rPr>
          <w:rFonts w:ascii="Calibri" w:hAnsi="Calibri"/>
          <w:color w:val="334155"/>
          <w:sz w:val="21"/>
        </w:rPr>
        <w:t>Furthermore, chronological splitting across single continuous trajectories can lead to the '0% Geographic Cluster Leakage' bug, where test sets reside in completely unseen physical coordinates. We resolve this by grouping all 24,179 temporal sequence samples strictly by independent vehicle driving runs (seq_index, 124 distinct drives). Drives are partitioned into 4 distinct sets: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2942"/>
            <w:tcMar>
              <w:top w:w="100" w:type="dxa"/>
              <w:bottom w:w="100" w:type="dxa"/>
              <w:left w:w="120" w:type="dxa"/>
              <w:right w:w="120" w:type="dxa"/>
            </w:tcMar>
          </w:tcPr>
          <w:p>
            <w:r>
              <w:rPr>
                <w:rFonts w:ascii="Calibri" w:hAnsi="Calibri"/>
                <w:b/>
                <w:color w:val="FFFFFF"/>
                <w:sz w:val="17"/>
              </w:rPr>
              <w:t>Dataset Partition</w:t>
            </w:r>
          </w:p>
        </w:tc>
        <w:tc>
          <w:tcPr>
            <w:tcW w:type="dxa" w:w="1872"/>
            <w:shd w:fill="0F2942"/>
            <w:tcMar>
              <w:top w:w="100" w:type="dxa"/>
              <w:bottom w:w="100" w:type="dxa"/>
              <w:left w:w="120" w:type="dxa"/>
              <w:right w:w="120" w:type="dxa"/>
            </w:tcMar>
          </w:tcPr>
          <w:p>
            <w:r>
              <w:rPr>
                <w:rFonts w:ascii="Calibri" w:hAnsi="Calibri"/>
                <w:b/>
                <w:color w:val="FFFFFF"/>
                <w:sz w:val="17"/>
              </w:rPr>
              <w:t>Trajectory Drives</w:t>
            </w:r>
          </w:p>
        </w:tc>
        <w:tc>
          <w:tcPr>
            <w:tcW w:type="dxa" w:w="1872"/>
            <w:shd w:fill="0F2942"/>
            <w:tcMar>
              <w:top w:w="100" w:type="dxa"/>
              <w:bottom w:w="100" w:type="dxa"/>
              <w:left w:w="120" w:type="dxa"/>
              <w:right w:w="120" w:type="dxa"/>
            </w:tcMar>
          </w:tcPr>
          <w:p>
            <w:r>
              <w:rPr>
                <w:rFonts w:ascii="Calibri" w:hAnsi="Calibri"/>
                <w:b/>
                <w:color w:val="FFFFFF"/>
                <w:sz w:val="17"/>
              </w:rPr>
              <w:t>Sequence Count</w:t>
            </w:r>
          </w:p>
        </w:tc>
        <w:tc>
          <w:tcPr>
            <w:tcW w:type="dxa" w:w="1872"/>
            <w:shd w:fill="0F2942"/>
            <w:tcMar>
              <w:top w:w="100" w:type="dxa"/>
              <w:bottom w:w="100" w:type="dxa"/>
              <w:left w:w="120" w:type="dxa"/>
              <w:right w:w="120" w:type="dxa"/>
            </w:tcMar>
          </w:tcPr>
          <w:p>
            <w:r>
              <w:rPr>
                <w:rFonts w:ascii="Calibri" w:hAnsi="Calibri"/>
                <w:b/>
                <w:color w:val="FFFFFF"/>
                <w:sz w:val="17"/>
              </w:rPr>
              <w:t>Percentage (%)</w:t>
            </w:r>
          </w:p>
        </w:tc>
        <w:tc>
          <w:tcPr>
            <w:tcW w:type="dxa" w:w="1872"/>
            <w:shd w:fill="0F2942"/>
            <w:tcMar>
              <w:top w:w="100" w:type="dxa"/>
              <w:bottom w:w="100" w:type="dxa"/>
              <w:left w:w="120" w:type="dxa"/>
              <w:right w:w="120" w:type="dxa"/>
            </w:tcMar>
          </w:tcPr>
          <w:p>
            <w:r>
              <w:rPr>
                <w:rFonts w:ascii="Calibri" w:hAnsi="Calibri"/>
                <w:b/>
                <w:color w:val="FFFFFF"/>
                <w:sz w:val="17"/>
              </w:rPr>
              <w:t>Role in Experimental Protocol</w:t>
            </w:r>
          </w:p>
        </w:tc>
      </w:tr>
      <w:tr>
        <w:tc>
          <w:tcPr>
            <w:tcW w:type="dxa" w:w="1872"/>
            <w:shd w:fill="F1F5F9"/>
            <w:tcMar>
              <w:top w:w="80" w:type="dxa"/>
              <w:bottom w:w="80" w:type="dxa"/>
              <w:left w:w="100" w:type="dxa"/>
              <w:right w:w="100" w:type="dxa"/>
            </w:tcMar>
          </w:tcPr>
          <w:p>
            <w:r>
              <w:rPr>
                <w:rFonts w:ascii="Calibri" w:hAnsi="Calibri"/>
                <w:b/>
                <w:color w:val="334155"/>
                <w:sz w:val="17"/>
              </w:rPr>
              <w:t>Train Set</w:t>
            </w:r>
          </w:p>
        </w:tc>
        <w:tc>
          <w:tcPr>
            <w:tcW w:type="dxa" w:w="1872"/>
            <w:shd w:fill="F1F5F9"/>
            <w:tcMar>
              <w:top w:w="80" w:type="dxa"/>
              <w:bottom w:w="80" w:type="dxa"/>
              <w:left w:w="100" w:type="dxa"/>
              <w:right w:w="100" w:type="dxa"/>
            </w:tcMar>
          </w:tcPr>
          <w:p>
            <w:r>
              <w:rPr>
                <w:rFonts w:ascii="Calibri" w:hAnsi="Calibri"/>
                <w:color w:val="334155"/>
                <w:sz w:val="17"/>
              </w:rPr>
              <w:t>68 drives</w:t>
            </w:r>
          </w:p>
        </w:tc>
        <w:tc>
          <w:tcPr>
            <w:tcW w:type="dxa" w:w="1872"/>
            <w:shd w:fill="F1F5F9"/>
            <w:tcMar>
              <w:top w:w="80" w:type="dxa"/>
              <w:bottom w:w="80" w:type="dxa"/>
              <w:left w:w="100" w:type="dxa"/>
              <w:right w:w="100" w:type="dxa"/>
            </w:tcMar>
          </w:tcPr>
          <w:p>
            <w:r>
              <w:rPr>
                <w:rFonts w:ascii="Calibri" w:hAnsi="Calibri"/>
                <w:color w:val="334155"/>
                <w:sz w:val="17"/>
              </w:rPr>
              <w:t>13,260</w:t>
            </w:r>
          </w:p>
        </w:tc>
        <w:tc>
          <w:tcPr>
            <w:tcW w:type="dxa" w:w="1872"/>
            <w:shd w:fill="F1F5F9"/>
            <w:tcMar>
              <w:top w:w="80" w:type="dxa"/>
              <w:bottom w:w="80" w:type="dxa"/>
              <w:left w:w="100" w:type="dxa"/>
              <w:right w:w="100" w:type="dxa"/>
            </w:tcMar>
          </w:tcPr>
          <w:p>
            <w:r>
              <w:rPr>
                <w:rFonts w:ascii="Calibri" w:hAnsi="Calibri"/>
                <w:color w:val="334155"/>
                <w:sz w:val="17"/>
              </w:rPr>
              <w:t>54.8%</w:t>
            </w:r>
          </w:p>
        </w:tc>
        <w:tc>
          <w:tcPr>
            <w:tcW w:type="dxa" w:w="1872"/>
            <w:shd w:fill="F1F5F9"/>
            <w:tcMar>
              <w:top w:w="80" w:type="dxa"/>
              <w:bottom w:w="80" w:type="dxa"/>
              <w:left w:w="100" w:type="dxa"/>
              <w:right w:w="100" w:type="dxa"/>
            </w:tcMar>
          </w:tcPr>
          <w:p>
            <w:r>
              <w:rPr>
                <w:rFonts w:ascii="Calibri" w:hAnsi="Calibri"/>
                <w:color w:val="334155"/>
                <w:sz w:val="17"/>
              </w:rPr>
              <w:t>Backpropagation weight optimization via AdamW</w:t>
            </w:r>
          </w:p>
        </w:tc>
      </w:tr>
      <w:tr>
        <w:tc>
          <w:tcPr>
            <w:tcW w:type="dxa" w:w="1872"/>
            <w:shd w:fill="FFFFFF"/>
            <w:tcMar>
              <w:top w:w="80" w:type="dxa"/>
              <w:bottom w:w="80" w:type="dxa"/>
              <w:left w:w="100" w:type="dxa"/>
              <w:right w:w="100" w:type="dxa"/>
            </w:tcMar>
          </w:tcPr>
          <w:p>
            <w:r>
              <w:rPr>
                <w:rFonts w:ascii="Calibri" w:hAnsi="Calibri"/>
                <w:b/>
                <w:color w:val="334155"/>
                <w:sz w:val="17"/>
              </w:rPr>
              <w:t>Validation Set</w:t>
            </w:r>
          </w:p>
        </w:tc>
        <w:tc>
          <w:tcPr>
            <w:tcW w:type="dxa" w:w="1872"/>
            <w:shd w:fill="FFFFFF"/>
            <w:tcMar>
              <w:top w:w="80" w:type="dxa"/>
              <w:bottom w:w="80" w:type="dxa"/>
              <w:left w:w="100" w:type="dxa"/>
              <w:right w:w="100" w:type="dxa"/>
            </w:tcMar>
          </w:tcPr>
          <w:p>
            <w:r>
              <w:rPr>
                <w:rFonts w:ascii="Calibri" w:hAnsi="Calibri"/>
                <w:color w:val="334155"/>
                <w:sz w:val="17"/>
              </w:rPr>
              <w:t>19 drives</w:t>
            </w:r>
          </w:p>
        </w:tc>
        <w:tc>
          <w:tcPr>
            <w:tcW w:type="dxa" w:w="1872"/>
            <w:shd w:fill="FFFFFF"/>
            <w:tcMar>
              <w:top w:w="80" w:type="dxa"/>
              <w:bottom w:w="80" w:type="dxa"/>
              <w:left w:w="100" w:type="dxa"/>
              <w:right w:w="100" w:type="dxa"/>
            </w:tcMar>
          </w:tcPr>
          <w:p>
            <w:r>
              <w:rPr>
                <w:rFonts w:ascii="Calibri" w:hAnsi="Calibri"/>
                <w:color w:val="334155"/>
                <w:sz w:val="17"/>
              </w:rPr>
              <w:t>3,705</w:t>
            </w:r>
          </w:p>
        </w:tc>
        <w:tc>
          <w:tcPr>
            <w:tcW w:type="dxa" w:w="1872"/>
            <w:shd w:fill="FFFFFF"/>
            <w:tcMar>
              <w:top w:w="80" w:type="dxa"/>
              <w:bottom w:w="80" w:type="dxa"/>
              <w:left w:w="100" w:type="dxa"/>
              <w:right w:w="100" w:type="dxa"/>
            </w:tcMar>
          </w:tcPr>
          <w:p>
            <w:r>
              <w:rPr>
                <w:rFonts w:ascii="Calibri" w:hAnsi="Calibri"/>
                <w:color w:val="334155"/>
                <w:sz w:val="17"/>
              </w:rPr>
              <w:t>15.3%</w:t>
            </w:r>
          </w:p>
        </w:tc>
        <w:tc>
          <w:tcPr>
            <w:tcW w:type="dxa" w:w="1872"/>
            <w:shd w:fill="FFFFFF"/>
            <w:tcMar>
              <w:top w:w="80" w:type="dxa"/>
              <w:bottom w:w="80" w:type="dxa"/>
              <w:left w:w="100" w:type="dxa"/>
              <w:right w:w="100" w:type="dxa"/>
            </w:tcMar>
          </w:tcPr>
          <w:p>
            <w:r>
              <w:rPr>
                <w:rFonts w:ascii="Calibri" w:hAnsi="Calibri"/>
                <w:color w:val="334155"/>
                <w:sz w:val="17"/>
              </w:rPr>
              <w:t>Early stopping model checkpoint selection</w:t>
            </w:r>
          </w:p>
        </w:tc>
      </w:tr>
      <w:tr>
        <w:tc>
          <w:tcPr>
            <w:tcW w:type="dxa" w:w="1872"/>
            <w:shd w:fill="F1F5F9"/>
            <w:tcMar>
              <w:top w:w="80" w:type="dxa"/>
              <w:bottom w:w="80" w:type="dxa"/>
              <w:left w:w="100" w:type="dxa"/>
              <w:right w:w="100" w:type="dxa"/>
            </w:tcMar>
          </w:tcPr>
          <w:p>
            <w:r>
              <w:rPr>
                <w:rFonts w:ascii="Calibri" w:hAnsi="Calibri"/>
                <w:b/>
                <w:color w:val="334155"/>
                <w:sz w:val="17"/>
              </w:rPr>
              <w:t>Calibration Set</w:t>
            </w:r>
          </w:p>
        </w:tc>
        <w:tc>
          <w:tcPr>
            <w:tcW w:type="dxa" w:w="1872"/>
            <w:shd w:fill="F1F5F9"/>
            <w:tcMar>
              <w:top w:w="80" w:type="dxa"/>
              <w:bottom w:w="80" w:type="dxa"/>
              <w:left w:w="100" w:type="dxa"/>
              <w:right w:w="100" w:type="dxa"/>
            </w:tcMar>
          </w:tcPr>
          <w:p>
            <w:r>
              <w:rPr>
                <w:rFonts w:ascii="Calibri" w:hAnsi="Calibri"/>
                <w:color w:val="334155"/>
                <w:sz w:val="17"/>
              </w:rPr>
              <w:t>19 drives</w:t>
            </w:r>
          </w:p>
        </w:tc>
        <w:tc>
          <w:tcPr>
            <w:tcW w:type="dxa" w:w="1872"/>
            <w:shd w:fill="F1F5F9"/>
            <w:tcMar>
              <w:top w:w="80" w:type="dxa"/>
              <w:bottom w:w="80" w:type="dxa"/>
              <w:left w:w="100" w:type="dxa"/>
              <w:right w:w="100" w:type="dxa"/>
            </w:tcMar>
          </w:tcPr>
          <w:p>
            <w:r>
              <w:rPr>
                <w:rFonts w:ascii="Calibri" w:hAnsi="Calibri"/>
                <w:color w:val="334155"/>
                <w:sz w:val="17"/>
              </w:rPr>
              <w:t>3,705</w:t>
            </w:r>
          </w:p>
        </w:tc>
        <w:tc>
          <w:tcPr>
            <w:tcW w:type="dxa" w:w="1872"/>
            <w:shd w:fill="F1F5F9"/>
            <w:tcMar>
              <w:top w:w="80" w:type="dxa"/>
              <w:bottom w:w="80" w:type="dxa"/>
              <w:left w:w="100" w:type="dxa"/>
              <w:right w:w="100" w:type="dxa"/>
            </w:tcMar>
          </w:tcPr>
          <w:p>
            <w:r>
              <w:rPr>
                <w:rFonts w:ascii="Calibri" w:hAnsi="Calibri"/>
                <w:color w:val="334155"/>
                <w:sz w:val="17"/>
              </w:rPr>
              <w:t>15.3%</w:t>
            </w:r>
          </w:p>
        </w:tc>
        <w:tc>
          <w:tcPr>
            <w:tcW w:type="dxa" w:w="1872"/>
            <w:shd w:fill="F1F5F9"/>
            <w:tcMar>
              <w:top w:w="80" w:type="dxa"/>
              <w:bottom w:w="80" w:type="dxa"/>
              <w:left w:w="100" w:type="dxa"/>
              <w:right w:w="100" w:type="dxa"/>
            </w:tcMar>
          </w:tcPr>
          <w:p>
            <w:r>
              <w:rPr>
                <w:rFonts w:ascii="Calibri" w:hAnsi="Calibri"/>
                <w:color w:val="334155"/>
                <w:sz w:val="17"/>
              </w:rPr>
              <w:t>Static Conformal Risk Control quantile calibration</w:t>
            </w:r>
          </w:p>
        </w:tc>
      </w:tr>
      <w:tr>
        <w:tc>
          <w:tcPr>
            <w:tcW w:type="dxa" w:w="1872"/>
            <w:shd w:fill="FFFFFF"/>
            <w:tcMar>
              <w:top w:w="80" w:type="dxa"/>
              <w:bottom w:w="80" w:type="dxa"/>
              <w:left w:w="100" w:type="dxa"/>
              <w:right w:w="100" w:type="dxa"/>
            </w:tcMar>
          </w:tcPr>
          <w:p>
            <w:r>
              <w:rPr>
                <w:rFonts w:ascii="Calibri" w:hAnsi="Calibri"/>
                <w:b/>
                <w:color w:val="334155"/>
                <w:sz w:val="17"/>
              </w:rPr>
              <w:t>Test Set</w:t>
            </w:r>
          </w:p>
        </w:tc>
        <w:tc>
          <w:tcPr>
            <w:tcW w:type="dxa" w:w="1872"/>
            <w:shd w:fill="FFFFFF"/>
            <w:tcMar>
              <w:top w:w="80" w:type="dxa"/>
              <w:bottom w:w="80" w:type="dxa"/>
              <w:left w:w="100" w:type="dxa"/>
              <w:right w:w="100" w:type="dxa"/>
            </w:tcMar>
          </w:tcPr>
          <w:p>
            <w:r>
              <w:rPr>
                <w:rFonts w:ascii="Calibri" w:hAnsi="Calibri"/>
                <w:color w:val="334155"/>
                <w:sz w:val="17"/>
              </w:rPr>
              <w:t>18 drives</w:t>
            </w:r>
          </w:p>
        </w:tc>
        <w:tc>
          <w:tcPr>
            <w:tcW w:type="dxa" w:w="1872"/>
            <w:shd w:fill="FFFFFF"/>
            <w:tcMar>
              <w:top w:w="80" w:type="dxa"/>
              <w:bottom w:w="80" w:type="dxa"/>
              <w:left w:w="100" w:type="dxa"/>
              <w:right w:w="100" w:type="dxa"/>
            </w:tcMar>
          </w:tcPr>
          <w:p>
            <w:r>
              <w:rPr>
                <w:rFonts w:ascii="Calibri" w:hAnsi="Calibri"/>
                <w:color w:val="334155"/>
                <w:sz w:val="17"/>
              </w:rPr>
              <w:t>3,509</w:t>
            </w:r>
          </w:p>
        </w:tc>
        <w:tc>
          <w:tcPr>
            <w:tcW w:type="dxa" w:w="1872"/>
            <w:shd w:fill="FFFFFF"/>
            <w:tcMar>
              <w:top w:w="80" w:type="dxa"/>
              <w:bottom w:w="80" w:type="dxa"/>
              <w:left w:w="100" w:type="dxa"/>
              <w:right w:w="100" w:type="dxa"/>
            </w:tcMar>
          </w:tcPr>
          <w:p>
            <w:r>
              <w:rPr>
                <w:rFonts w:ascii="Calibri" w:hAnsi="Calibri"/>
                <w:color w:val="334155"/>
                <w:sz w:val="17"/>
              </w:rPr>
              <w:t>14.5%</w:t>
            </w:r>
          </w:p>
        </w:tc>
        <w:tc>
          <w:tcPr>
            <w:tcW w:type="dxa" w:w="1872"/>
            <w:shd w:fill="FFFFFF"/>
            <w:tcMar>
              <w:top w:w="80" w:type="dxa"/>
              <w:bottom w:w="80" w:type="dxa"/>
              <w:left w:w="100" w:type="dxa"/>
              <w:right w:w="100" w:type="dxa"/>
            </w:tcMar>
          </w:tcPr>
          <w:p>
            <w:r>
              <w:rPr>
                <w:rFonts w:ascii="Calibri" w:hAnsi="Calibri"/>
                <w:color w:val="334155"/>
                <w:sz w:val="17"/>
              </w:rPr>
              <w:t>Final unseen generalized evaluation &amp; bootstrap CIs</w:t>
            </w:r>
          </w:p>
        </w:tc>
      </w:tr>
    </w:tbl>
    <w:p>
      <w:pPr>
        <w:spacing w:before="80" w:after="80"/>
      </w:pPr>
    </w:p>
    <w:p>
      <w:pPr>
        <w:keepNext/>
        <w:spacing w:before="360" w:after="120"/>
      </w:pPr>
      <w:r>
        <w:rPr>
          <w:rFonts w:ascii="Calibri" w:hAnsi="Calibri"/>
          <w:b/>
          <w:color w:val="0F2942"/>
          <w:sz w:val="30"/>
        </w:rPr>
        <w:t>CHAPTER 4: NEURAL NETWORK ARCHITECTURE &amp; MODEL ENGINEERING</w:t>
      </w:r>
    </w:p>
    <w:p>
      <w:pPr>
        <w:keepNext/>
        <w:spacing w:before="240" w:after="80"/>
      </w:pPr>
      <w:r>
        <w:rPr>
          <w:rFonts w:ascii="Calibri" w:hAnsi="Calibri"/>
          <w:b/>
          <w:color w:val="2563EB"/>
          <w:sz w:val="25"/>
        </w:rPr>
        <w:t>4.1 Multimodal System Architecture Overview</w:t>
      </w:r>
    </w:p>
    <w:p>
      <w:pPr>
        <w:spacing w:before="40" w:after="100" w:line="283" w:lineRule="auto"/>
      </w:pPr>
      <w:r>
        <w:rPr>
          <w:rFonts w:ascii="Calibri" w:hAnsi="Calibri"/>
          <w:color w:val="334155"/>
          <w:sz w:val="21"/>
        </w:rPr>
        <w:t>The proposed deep multimodal network—designated P3_MultiTaskProfile (~15.15M parameters)—is engineered to ingest asynchronous spatial-temporal sensor data and synthesize robust beam steering policies. The architecture is structured into four primary functional components: (i) Kinematics Feature Encoder, (ii) Visual Scene Feature Encoder, (iii) Pre-LayerNorm Transformer Cross-Attention Fusion Core, and (iv) Decoupled Dual Multitask Output Heads.</w:t>
      </w:r>
    </w:p>
    <w:p>
      <w:pPr>
        <w:keepNext/>
        <w:spacing w:before="240" w:after="80"/>
      </w:pPr>
      <w:r>
        <w:rPr>
          <w:rFonts w:ascii="Calibri" w:hAnsi="Calibri"/>
          <w:b/>
          <w:color w:val="2563EB"/>
          <w:sz w:val="25"/>
        </w:rPr>
        <w:t>4.2 Spatial Kinematics Trajectory Encoder (Bi-GRU)</w:t>
      </w:r>
    </w:p>
    <w:p>
      <w:pPr>
        <w:spacing w:before="40" w:after="100" w:line="283" w:lineRule="auto"/>
      </w:pPr>
      <w:r>
        <w:rPr>
          <w:rFonts w:ascii="Calibri" w:hAnsi="Calibri"/>
          <w:b/>
          <w:color w:val="1E293B"/>
          <w:sz w:val="21"/>
        </w:rPr>
        <w:t xml:space="preserve">Recurrent Architecture: </w:t>
      </w:r>
      <w:r>
        <w:rPr>
          <w:rFonts w:ascii="Calibri" w:hAnsi="Calibri"/>
          <w:color w:val="334155"/>
          <w:sz w:val="21"/>
        </w:rPr>
        <w:t>The kinematics branch processes input tensor X_gps in R^{B x 30 x 9}. A linear input projection layer maps the 9 spatial features to a 192-dimensional latent space, followed by a 2-layer Bidirectional Gated Recurrent Unit (Bi-GRU) with Layer Normalization and 0.25 dropout:</w:t>
      </w:r>
    </w:p>
    <w:p>
      <w:pPr>
        <w:spacing w:before="40" w:after="100" w:line="283" w:lineRule="auto"/>
      </w:pPr>
      <w:r>
        <w:rPr>
          <w:rFonts w:ascii="Calibri" w:hAnsi="Calibri"/>
          <w:color w:val="334155"/>
          <w:sz w:val="21"/>
        </w:rPr>
        <w:t>h_fwd, h_bwd = BiGRU( Linear(X_gps) )</w:t>
        <w:br/>
        <w:t>h_kin = LayerNorm( Linear( [h_fwd[-1]; h_bwd[-1]] ) ) in R^{B x 192}</w:t>
        <w:br/>
        <w:t>The forward GRU captures the progressive accumulation of vehicle velocity and heading, while the backward GRU refines the historical trajectory context, producing a compact 192-dimensional spatial motion token.</w:t>
      </w:r>
    </w:p>
    <w:p>
      <w:pPr>
        <w:keepNext/>
        <w:spacing w:before="240" w:after="80"/>
      </w:pPr>
      <w:r>
        <w:rPr>
          <w:rFonts w:ascii="Calibri" w:hAnsi="Calibri"/>
          <w:b/>
          <w:color w:val="2563EB"/>
          <w:sz w:val="25"/>
        </w:rPr>
        <w:t>4.3 Visual Scene Feature Encoder (ResNet-18)</w:t>
      </w:r>
    </w:p>
    <w:p>
      <w:pPr>
        <w:spacing w:before="40" w:after="100" w:line="283" w:lineRule="auto"/>
      </w:pPr>
      <w:r>
        <w:rPr>
          <w:rFonts w:ascii="Calibri" w:hAnsi="Calibri"/>
          <w:b/>
          <w:color w:val="1E293B"/>
          <w:sz w:val="21"/>
        </w:rPr>
        <w:t xml:space="preserve">Domain-Adapted Visual Stream: </w:t>
      </w:r>
      <w:r>
        <w:rPr>
          <w:rFonts w:ascii="Calibri" w:hAnsi="Calibri"/>
          <w:color w:val="334155"/>
          <w:sz w:val="21"/>
        </w:rPr>
        <w:t>The vision branch processes a temporal window of T_img = 5 RGB camera frames downsampled to 96x96 resolution, represented as tensor X_rgb in R^{B x 5 x 3 x 96 x 96}. We employ a transfer-learning strategy based on ResNet-18:</w:t>
      </w:r>
    </w:p>
    <w:p>
      <w:pPr>
        <w:spacing w:before="40" w:after="100" w:line="283" w:lineRule="auto"/>
      </w:pPr>
      <w:r>
        <w:rPr>
          <w:rFonts w:ascii="Calibri" w:hAnsi="Calibri"/>
          <w:color w:val="334155"/>
          <w:sz w:val="21"/>
        </w:rPr>
        <w:t>• Frozen Stem &amp; Layers 1–2: Retains generalized low-level visual filters (Gabor edges, textures, corner detectors) pre-trained on ImageNet.</w:t>
        <w:br/>
        <w:t>• Fine-Tuned Layers 3–4: Unfrozen and trained end-to-end to capture roadway vanishing points, vehicular silhouettes, and metallic specular reflections.</w:t>
        <w:br/>
        <w:t>• Temporal Projection: Each frame's feature map is pooled via AdaptiveAvgPool2d to 512 dimensions, followed by a Linear projection to 192 dimensions, yielding visual token sequence Z_img in R^{B x 5 x 192}.</w:t>
      </w:r>
    </w:p>
    <w:p>
      <w:pPr>
        <w:keepNext/>
        <w:spacing w:before="240" w:after="80"/>
      </w:pPr>
      <w:r>
        <w:rPr>
          <w:rFonts w:ascii="Calibri" w:hAnsi="Calibri"/>
          <w:b/>
          <w:color w:val="2563EB"/>
          <w:sz w:val="25"/>
        </w:rPr>
        <w:t>4.4 Pre-LayerNorm Transformer Cross-Attention Fusion Core</w:t>
      </w:r>
    </w:p>
    <w:p>
      <w:pPr>
        <w:spacing w:before="40" w:after="100" w:line="283" w:lineRule="auto"/>
      </w:pPr>
      <w:r>
        <w:rPr>
          <w:rFonts w:ascii="Calibri" w:hAnsi="Calibri"/>
          <w:b/>
          <w:color w:val="1E293B"/>
          <w:sz w:val="21"/>
        </w:rPr>
        <w:t xml:space="preserve">The Dynamic Conductor: </w:t>
      </w:r>
      <w:r>
        <w:rPr>
          <w:rFonts w:ascii="Calibri" w:hAnsi="Calibri"/>
          <w:color w:val="334155"/>
          <w:sz w:val="21"/>
        </w:rPr>
        <w:t>To enable deep cross-modal reasoning, the spatial kinematics token and the visual frame tokens are projected into a unified sequence. We prepend a learnable classification token z_CLS in R^{1 x 192} and concatenate the modalities along the sequence dimension:</w:t>
        <w:br/>
        <w:t>Z_0 = [ z_CLS ; h_kin ; Z_img ] + E_pos in R^{B x 7 x 192}</w:t>
        <w:br/>
        <w:t>where E_pos in R^{7 x 192} provides learnable positional and modality embeddings.</w:t>
      </w:r>
    </w:p>
    <w:p>
      <w:pPr>
        <w:spacing w:before="40" w:after="100" w:line="283" w:lineRule="auto"/>
      </w:pPr>
      <w:r>
        <w:rPr>
          <w:rFonts w:ascii="Calibri" w:hAnsi="Calibri"/>
          <w:color w:val="334155"/>
          <w:sz w:val="21"/>
        </w:rPr>
        <w:t>The sequence is processed by a 2-layer Pre-LayerNorm Transformer Encoder with 4 attention heads and feed-forward dimension d_ff = 768. Unlike standard post-LN Transformers which suffer from vanishing gradients in deep architectures, Pre-LayerNorm stabilizes gradient backpropagation across disparate sensor streams. The multi-head self-attention mechanism computes dynamic cross-attention weights between camera tokens and GPS tokens, functioning as an intelligent 'conductor' that weighs visual cues against kinematics in real time.</w:t>
      </w:r>
    </w:p>
    <w:p>
      <w:pPr>
        <w:keepNext/>
        <w:spacing w:before="240" w:after="80"/>
      </w:pPr>
      <w:r>
        <w:rPr>
          <w:rFonts w:ascii="Calibri" w:hAnsi="Calibri"/>
          <w:b/>
          <w:color w:val="2563EB"/>
          <w:sz w:val="25"/>
        </w:rPr>
        <w:t>4.5 Decoupled Dual Multitask Output Heads &amp; Loss Formulation</w:t>
      </w:r>
    </w:p>
    <w:p>
      <w:pPr>
        <w:spacing w:before="40" w:after="100" w:line="283" w:lineRule="auto"/>
      </w:pPr>
      <w:r>
        <w:rPr>
          <w:rFonts w:ascii="Calibri" w:hAnsi="Calibri"/>
          <w:b/>
          <w:color w:val="1E293B"/>
          <w:sz w:val="21"/>
        </w:rPr>
        <w:t xml:space="preserve">Dual Output Heads: </w:t>
      </w:r>
      <w:r>
        <w:rPr>
          <w:rFonts w:ascii="Calibri" w:hAnsi="Calibri"/>
          <w:color w:val="334155"/>
          <w:sz w:val="21"/>
        </w:rPr>
        <w:t>The contextual representation extracted from the transformed [CLS] token z_out in R^{B x 192} branches into two independent multi-layer perceptron (MLP) heads:</w:t>
      </w:r>
    </w:p>
    <w:p>
      <w:pPr>
        <w:spacing w:before="40" w:after="100" w:line="283" w:lineRule="auto"/>
      </w:pPr>
      <w:r>
        <w:rPr>
          <w:rFonts w:ascii="Calibri" w:hAnsi="Calibri"/>
          <w:color w:val="334155"/>
          <w:sz w:val="21"/>
        </w:rPr>
        <w:t>1. Classification Head: 2-layer MLP with LayerNorm and GELU activations outputting logits over all 256 discrete beam candidates. We apply Cross-Entropy Loss with label smoothing (epsilon = 0.05):</w:t>
        <w:br/>
        <w:t>L_CE = - sum_{b=0}^{255} y_smooth[b] * log( softmax(logits[b]) )</w:t>
        <w:br/>
        <w:t>Label smoothing prevents overconfident softmax saturation and accounts for near-optimal neighboring beams.</w:t>
        <w:br/>
        <w:br/>
        <w:t>2. Power Profile Regression Head: 2-layer MLP predicting continuous power spectra p_hat in R^{256} in logarithmic decibels (dBm). Supervised via Mean Squared Error (MSE) loss against ground truth dBm measurements:</w:t>
        <w:br/>
        <w:t>L_MSE = (1 / 256) * sum_{b=0}^{255} ( p_hat[b] - p_true[b] )^2</w:t>
        <w:br/>
        <w:br/>
        <w:t>3. Total Multitask Loss: L_total = (1 - alpha_loss) * L_CE + alpha_loss * L_MSE (with alpha_loss = 0.5).</w:t>
      </w:r>
    </w:p>
    <w:p>
      <w:pPr>
        <w:keepNext/>
        <w:spacing w:before="360" w:after="120"/>
      </w:pPr>
      <w:r>
        <w:rPr>
          <w:rFonts w:ascii="Calibri" w:hAnsi="Calibri"/>
          <w:b/>
          <w:color w:val="0F2942"/>
          <w:sz w:val="30"/>
        </w:rPr>
        <w:t>CHAPTER 5: CONFORMAL RISK CONTROL &amp; SAFETY GUARANTEES</w:t>
      </w:r>
    </w:p>
    <w:p>
      <w:pPr>
        <w:keepNext/>
        <w:spacing w:before="240" w:after="80"/>
      </w:pPr>
      <w:r>
        <w:rPr>
          <w:rFonts w:ascii="Calibri" w:hAnsi="Calibri"/>
          <w:b/>
          <w:color w:val="2563EB"/>
          <w:sz w:val="25"/>
        </w:rPr>
        <w:t>5.1 The Critical Fallacy of Uncalibrated Point Predictions</w:t>
      </w:r>
    </w:p>
    <w:p>
      <w:pPr>
        <w:spacing w:before="40" w:after="100" w:line="283" w:lineRule="auto"/>
      </w:pPr>
      <w:r>
        <w:rPr>
          <w:rFonts w:ascii="Calibri" w:hAnsi="Calibri"/>
          <w:color w:val="334155"/>
          <w:sz w:val="21"/>
        </w:rPr>
        <w:t>In traditional machine learning benchmarks, Top-1 accuracy is the sole evaluation criterion. However, in safety-critical autonomous V2V communication, predicting a single beam index without uncertainty quantification is hazardous. A single misaligned beam drops received power by 20 to 30 dB, instantly breaking safety-critical telemetry links between high-speed vehicles.</w:t>
      </w:r>
    </w:p>
    <w:p>
      <w:pPr>
        <w:spacing w:before="40" w:after="100" w:line="283" w:lineRule="auto"/>
      </w:pPr>
      <w:r>
        <w:rPr>
          <w:rFonts w:ascii="Calibri" w:hAnsi="Calibri"/>
          <w:color w:val="334155"/>
          <w:sz w:val="21"/>
        </w:rPr>
        <w:t>What connected autonomous systems require is a guaranteed candidate set C(S_t) subseteq B such that the true optimal beam is guaranteed to be contained within the set, or that the maximum power loss experienced by selecting the best beam in C(S_t) is strictly bounded below a safety tolerance Delta_dB.</w:t>
      </w:r>
    </w:p>
    <w:p>
      <w:pPr>
        <w:keepNext/>
        <w:spacing w:before="240" w:after="80"/>
      </w:pPr>
      <w:r>
        <w:rPr>
          <w:rFonts w:ascii="Calibri" w:hAnsi="Calibri"/>
          <w:b/>
          <w:color w:val="2563EB"/>
          <w:sz w:val="25"/>
        </w:rPr>
        <w:t>5.2 Static Conformal Risk Control (CRC) Formulation</w:t>
      </w:r>
    </w:p>
    <w:p>
      <w:pPr>
        <w:spacing w:before="40" w:after="100" w:line="283" w:lineRule="auto"/>
      </w:pPr>
      <w:r>
        <w:rPr>
          <w:rFonts w:ascii="Calibri" w:hAnsi="Calibri"/>
          <w:b/>
          <w:color w:val="1E293B"/>
          <w:sz w:val="21"/>
        </w:rPr>
        <w:t xml:space="preserve">Non-Conformity Scoring: </w:t>
      </w:r>
      <w:r>
        <w:rPr>
          <w:rFonts w:ascii="Calibri" w:hAnsi="Calibri"/>
          <w:color w:val="334155"/>
          <w:sz w:val="21"/>
        </w:rPr>
        <w:t>We implement Conformal Risk Control (CRC) based on the continuous power profile regression head. For each calibration sample i in {1, ..., n} (where n = 3,705 independent calibration sequences), we define the non-conformity score S_i as the predicted power gap between the estimated maximum beam and the true optimal beam:</w:t>
      </w:r>
    </w:p>
    <w:p>
      <w:pPr>
        <w:spacing w:before="40" w:after="100" w:line="283" w:lineRule="auto"/>
      </w:pPr>
      <w:r>
        <w:rPr>
          <w:rFonts w:ascii="Calibri" w:hAnsi="Calibri"/>
          <w:color w:val="334155"/>
          <w:sz w:val="21"/>
        </w:rPr>
        <w:t>S_i = max_{b in B} p_hat_i[b] - p_hat_i[ b*_i ]</w:t>
        <w:br/>
        <w:t>The empirical quantile threshold q_hat is calibrated on the calibration set at confidence level 1 - alpha (with target risk alpha = 0.10, corresponding to 90% guaranteed coverage):</w:t>
        <w:br/>
        <w:t>q_hat = Quantile( {S_1, ..., S_n},  ceil((n + 1)(1 - alpha)) / n )</w:t>
        <w:br/>
        <w:t>On our calibration split, this calibration yields q_hat = 7.30 dB. At test time, the candidate safety set is formed by selecting all beams whose predicted power loss falls within q_hat:</w:t>
        <w:br/>
        <w:t>C(S_test) = { b in {0, ..., 255} : max(p_hat) - p_hat[b] &lt;= q_hat }</w:t>
      </w:r>
    </w:p>
    <w:p>
      <w:pPr>
        <w:keepNext/>
        <w:spacing w:before="240" w:after="80"/>
      </w:pPr>
      <w:r>
        <w:rPr>
          <w:rFonts w:ascii="Calibri" w:hAnsi="Calibri"/>
          <w:b/>
          <w:color w:val="2563EB"/>
          <w:sz w:val="25"/>
        </w:rPr>
        <w:t>5.3 Non-Stationary Mobility &amp; Adaptive Conformal Inference (ACI)</w:t>
      </w:r>
    </w:p>
    <w:p>
      <w:pPr>
        <w:spacing w:before="40" w:after="100" w:line="283" w:lineRule="auto"/>
      </w:pPr>
      <w:r>
        <w:rPr>
          <w:rFonts w:ascii="Calibri" w:hAnsi="Calibri"/>
          <w:color w:val="334155"/>
          <w:sz w:val="21"/>
        </w:rPr>
        <w:t>Static CRC relies on the exchangeability assumption (that calibration and test data are identically distributed). In real-world driving, exchangeability is routinely broken: vehicles turn corners, enter tunnels, or experience fluctuating traffic density. Under non-stationary distribution shift, the static threshold q_hat can experience localized coverage breakdown.</w:t>
      </w:r>
    </w:p>
    <w:p>
      <w:pPr>
        <w:spacing w:before="40" w:after="100" w:line="283" w:lineRule="auto"/>
      </w:pPr>
      <w:r>
        <w:rPr>
          <w:rFonts w:ascii="Calibri" w:hAnsi="Calibri"/>
          <w:color w:val="334155"/>
          <w:sz w:val="21"/>
        </w:rPr>
        <w:t>To guarantee robust coverage under trajectory drift, we implement an online Adaptive Conformal Inference (ACI) controller. At each streaming step t, the controller observes whether a miss occurred (defined as true power loss exceeding Delta_dB = 3.0 dB) and dynamically updates the quantile threshold via gradient descent on pinball loss:</w:t>
        <w:br/>
        <w:t>e_t = I( Loss(C_t) &gt; Delta_dB ) - alpha</w:t>
        <w:br/>
        <w:t>q_{t+1} = max( 0, q_t + eta * e_t )</w:t>
        <w:br/>
        <w:t>where eta = 0.1 is the adaptation learning rate. If the model experiences consecutive misses (e.g., during a sharp turn), q_t automatically expands the candidate set; once tracking stabilizes, q_t contracts to minimize beam sweep overhead.</w:t>
      </w:r>
    </w:p>
    <w:p>
      <w:pPr>
        <w:keepNext/>
        <w:spacing w:before="360" w:after="120"/>
      </w:pPr>
      <w:r>
        <w:rPr>
          <w:rFonts w:ascii="Calibri" w:hAnsi="Calibri"/>
          <w:b/>
          <w:color w:val="0F2942"/>
          <w:sz w:val="30"/>
        </w:rPr>
        <w:t>CHAPTER 6: EXPERIMENTAL IMPLEMENTATION &amp; TRAINING DYNAMICS</w:t>
      </w:r>
    </w:p>
    <w:p>
      <w:pPr>
        <w:keepNext/>
        <w:spacing w:before="240" w:after="80"/>
      </w:pPr>
      <w:r>
        <w:rPr>
          <w:rFonts w:ascii="Calibri" w:hAnsi="Calibri"/>
          <w:b/>
          <w:color w:val="2563EB"/>
          <w:sz w:val="25"/>
        </w:rPr>
        <w:t>6.1 Hardware &amp; Computational Environment</w:t>
      </w:r>
    </w:p>
    <w:p>
      <w:pPr>
        <w:spacing w:before="40" w:after="100" w:line="283" w:lineRule="auto"/>
      </w:pPr>
      <w:r>
        <w:rPr>
          <w:rFonts w:ascii="Calibri" w:hAnsi="Calibri"/>
          <w:b/>
          <w:color w:val="1E293B"/>
          <w:sz w:val="21"/>
        </w:rPr>
        <w:t xml:space="preserve">Hardware Configuration: </w:t>
      </w:r>
      <w:r>
        <w:rPr>
          <w:rFonts w:ascii="Calibri" w:hAnsi="Calibri"/>
          <w:color w:val="334155"/>
          <w:sz w:val="21"/>
        </w:rPr>
        <w:t>Training and benchmarking were conducted on a dedicated high-performance deep learning workstation:</w:t>
      </w:r>
    </w:p>
    <w:p>
      <w:pPr>
        <w:spacing w:before="40" w:after="100" w:line="283" w:lineRule="auto"/>
      </w:pPr>
      <w:r>
        <w:rPr>
          <w:rFonts w:ascii="Calibri" w:hAnsi="Calibri"/>
          <w:color w:val="334155"/>
          <w:sz w:val="21"/>
        </w:rPr>
        <w:t>• GPU: NVIDIA GeForce RTX 5070 (12 GB GDDR7 VRAM, Blackwell Architecture sm_120)</w:t>
        <w:br/>
        <w:t>• CPU: AMD Ryzen / Intel Multi-Core Host Processor with 32 GB System RAM</w:t>
        <w:br/>
        <w:t>• Software Environment: Windows 11, PyTorch 2.12 + cu128, Python 3.12</w:t>
        <w:br/>
        <w:t>• In-Memory RAM Caching: To eliminate Windows filesystem disk I/O bottlenecks during camera image reading, all 24,179 video frames were pre-resized to 96x96x3 uint8 arrays and cached in RAM, achieving ~1,585 samples/second throughput (~8.2 seconds per epoch on GPU).</w:t>
      </w:r>
    </w:p>
    <w:p>
      <w:pPr>
        <w:keepNext/>
        <w:spacing w:before="240" w:after="80"/>
      </w:pPr>
      <w:r>
        <w:rPr>
          <w:rFonts w:ascii="Calibri" w:hAnsi="Calibri"/>
          <w:b/>
          <w:color w:val="2563EB"/>
          <w:sz w:val="25"/>
        </w:rPr>
        <w:t>6.2 Hyperparameters &amp; Optimization Pipeline</w:t>
      </w:r>
    </w:p>
    <w:p>
      <w:pPr>
        <w:spacing w:before="40" w:after="100" w:line="283" w:lineRule="auto"/>
      </w:pPr>
      <w:r>
        <w:rPr>
          <w:rFonts w:ascii="Calibri" w:hAnsi="Calibri"/>
          <w:color w:val="334155"/>
          <w:sz w:val="21"/>
        </w:rPr>
        <w:t>Optimization was executed using the AdamW optimizer (beta1 = 0.9, beta2 = 0.999, weight decay = 1e-4) paired with a OneCycleLR cosine annealing learning rate scheduler (max learning rate = 3e-4, 30% warmup phase). Training was governed by an early stopping monitor (min_epochs = 30, patience = 12, min_delta = 0.001) operating on validation Top-1 accuracy.</w:t>
      </w:r>
    </w:p>
    <w:p>
      <w:pPr>
        <w:keepNext/>
        <w:spacing w:before="360" w:after="120"/>
      </w:pPr>
      <w:r>
        <w:rPr>
          <w:rFonts w:ascii="Calibri" w:hAnsi="Calibri"/>
          <w:b/>
          <w:color w:val="0F2942"/>
          <w:sz w:val="30"/>
        </w:rPr>
        <w:t>CHAPTER 7: EMPIRICAL RESULTS, COMPARATIVE ANALYSIS &amp; DISCUSSIONS</w:t>
      </w:r>
    </w:p>
    <w:p>
      <w:pPr>
        <w:keepNext/>
        <w:spacing w:before="240" w:after="80"/>
      </w:pPr>
      <w:r>
        <w:rPr>
          <w:rFonts w:ascii="Calibri" w:hAnsi="Calibri"/>
          <w:b/>
          <w:color w:val="2563EB"/>
          <w:sz w:val="25"/>
        </w:rPr>
        <w:t>7.1 Comprehensive Partition-Wise Benchmark Evaluation</w:t>
      </w:r>
    </w:p>
    <w:p>
      <w:pPr>
        <w:spacing w:before="40" w:after="100" w:line="283" w:lineRule="auto"/>
      </w:pPr>
      <w:r>
        <w:rPr>
          <w:rFonts w:ascii="Calibri" w:hAnsi="Calibri"/>
          <w:color w:val="334155"/>
          <w:sz w:val="21"/>
        </w:rPr>
        <w:t>Table 7.1 presents the exhaustive empirical performance of P3_MultiTaskProfile across all four zero-leakage partitions. The results reflect evaluation over all 24,179 sequence samples (124 trajectory runs) [From DeepSense Project Documentation]: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2942"/>
            <w:tcMar>
              <w:top w:w="100" w:type="dxa"/>
              <w:bottom w:w="100" w:type="dxa"/>
              <w:left w:w="100" w:type="dxa"/>
              <w:right w:w="100" w:type="dxa"/>
            </w:tcMar>
          </w:tcPr>
          <w:p>
            <w:r>
              <w:rPr>
                <w:rFonts w:ascii="Calibri" w:hAnsi="Calibri"/>
                <w:b/>
                <w:color w:val="FFFFFF"/>
                <w:sz w:val="16"/>
              </w:rPr>
              <w:t>Evaluation Metric</w:t>
            </w:r>
          </w:p>
        </w:tc>
        <w:tc>
          <w:tcPr>
            <w:tcW w:type="dxa" w:w="1560"/>
            <w:shd w:fill="0F2942"/>
            <w:tcMar>
              <w:top w:w="100" w:type="dxa"/>
              <w:bottom w:w="100" w:type="dxa"/>
              <w:left w:w="100" w:type="dxa"/>
              <w:right w:w="100" w:type="dxa"/>
            </w:tcMar>
          </w:tcPr>
          <w:p>
            <w:r>
              <w:rPr>
                <w:rFonts w:ascii="Calibri" w:hAnsi="Calibri"/>
                <w:b/>
                <w:color w:val="FFFFFF"/>
                <w:sz w:val="16"/>
              </w:rPr>
              <w:t>Train Set</w:t>
            </w:r>
          </w:p>
        </w:tc>
        <w:tc>
          <w:tcPr>
            <w:tcW w:type="dxa" w:w="1560"/>
            <w:shd w:fill="0F2942"/>
            <w:tcMar>
              <w:top w:w="100" w:type="dxa"/>
              <w:bottom w:w="100" w:type="dxa"/>
              <w:left w:w="100" w:type="dxa"/>
              <w:right w:w="100" w:type="dxa"/>
            </w:tcMar>
          </w:tcPr>
          <w:p>
            <w:r>
              <w:rPr>
                <w:rFonts w:ascii="Calibri" w:hAnsi="Calibri"/>
                <w:b/>
                <w:color w:val="FFFFFF"/>
                <w:sz w:val="16"/>
              </w:rPr>
              <w:t>Validation Set</w:t>
            </w:r>
          </w:p>
        </w:tc>
        <w:tc>
          <w:tcPr>
            <w:tcW w:type="dxa" w:w="1560"/>
            <w:shd w:fill="0F2942"/>
            <w:tcMar>
              <w:top w:w="100" w:type="dxa"/>
              <w:bottom w:w="100" w:type="dxa"/>
              <w:left w:w="100" w:type="dxa"/>
              <w:right w:w="100" w:type="dxa"/>
            </w:tcMar>
          </w:tcPr>
          <w:p>
            <w:r>
              <w:rPr>
                <w:rFonts w:ascii="Calibri" w:hAnsi="Calibri"/>
                <w:b/>
                <w:color w:val="FFFFFF"/>
                <w:sz w:val="16"/>
              </w:rPr>
              <w:t>Calibration Set</w:t>
            </w:r>
          </w:p>
        </w:tc>
        <w:tc>
          <w:tcPr>
            <w:tcW w:type="dxa" w:w="1560"/>
            <w:shd w:fill="0F2942"/>
            <w:tcMar>
              <w:top w:w="100" w:type="dxa"/>
              <w:bottom w:w="100" w:type="dxa"/>
              <w:left w:w="100" w:type="dxa"/>
              <w:right w:w="100" w:type="dxa"/>
            </w:tcMar>
          </w:tcPr>
          <w:p>
            <w:r>
              <w:rPr>
                <w:rFonts w:ascii="Calibri" w:hAnsi="Calibri"/>
                <w:b/>
                <w:color w:val="FFFFFF"/>
                <w:sz w:val="16"/>
              </w:rPr>
              <w:t>Test Set</w:t>
            </w:r>
          </w:p>
        </w:tc>
        <w:tc>
          <w:tcPr>
            <w:tcW w:type="dxa" w:w="1560"/>
            <w:shd w:fill="0F2942"/>
            <w:tcMar>
              <w:top w:w="100" w:type="dxa"/>
              <w:bottom w:w="100" w:type="dxa"/>
              <w:left w:w="100" w:type="dxa"/>
              <w:right w:w="100" w:type="dxa"/>
            </w:tcMar>
          </w:tcPr>
          <w:p>
            <w:r>
              <w:rPr>
                <w:rFonts w:ascii="Calibri" w:hAnsi="Calibri"/>
                <w:b/>
                <w:color w:val="FFFFFF"/>
                <w:sz w:val="16"/>
              </w:rPr>
              <w:t>Overall Dataset</w:t>
            </w:r>
          </w:p>
        </w:tc>
      </w:tr>
      <w:tr>
        <w:tc>
          <w:tcPr>
            <w:tcW w:type="dxa" w:w="1560"/>
            <w:shd w:fill="F1F5F9"/>
            <w:tcMar>
              <w:top w:w="70" w:type="dxa"/>
              <w:bottom w:w="70" w:type="dxa"/>
              <w:left w:w="80" w:type="dxa"/>
              <w:right w:w="80" w:type="dxa"/>
            </w:tcMar>
          </w:tcPr>
          <w:p>
            <w:r>
              <w:rPr>
                <w:rFonts w:ascii="Calibri" w:hAnsi="Calibri"/>
                <w:b/>
                <w:color w:val="334155"/>
                <w:sz w:val="16"/>
              </w:rPr>
              <w:t>Independent Drives</w:t>
            </w:r>
          </w:p>
        </w:tc>
        <w:tc>
          <w:tcPr>
            <w:tcW w:type="dxa" w:w="1560"/>
            <w:shd w:fill="F1F5F9"/>
            <w:tcMar>
              <w:top w:w="70" w:type="dxa"/>
              <w:bottom w:w="70" w:type="dxa"/>
              <w:left w:w="80" w:type="dxa"/>
              <w:right w:w="80" w:type="dxa"/>
            </w:tcMar>
          </w:tcPr>
          <w:p>
            <w:r>
              <w:rPr>
                <w:rFonts w:ascii="Calibri" w:hAnsi="Calibri"/>
                <w:color w:val="334155"/>
                <w:sz w:val="16"/>
              </w:rPr>
              <w:t>68 drives</w:t>
            </w:r>
          </w:p>
        </w:tc>
        <w:tc>
          <w:tcPr>
            <w:tcW w:type="dxa" w:w="1560"/>
            <w:shd w:fill="F1F5F9"/>
            <w:tcMar>
              <w:top w:w="70" w:type="dxa"/>
              <w:bottom w:w="70" w:type="dxa"/>
              <w:left w:w="80" w:type="dxa"/>
              <w:right w:w="80" w:type="dxa"/>
            </w:tcMar>
          </w:tcPr>
          <w:p>
            <w:r>
              <w:rPr>
                <w:rFonts w:ascii="Calibri" w:hAnsi="Calibri"/>
                <w:color w:val="334155"/>
                <w:sz w:val="16"/>
              </w:rPr>
              <w:t>19 drives</w:t>
            </w:r>
          </w:p>
        </w:tc>
        <w:tc>
          <w:tcPr>
            <w:tcW w:type="dxa" w:w="1560"/>
            <w:shd w:fill="F1F5F9"/>
            <w:tcMar>
              <w:top w:w="70" w:type="dxa"/>
              <w:bottom w:w="70" w:type="dxa"/>
              <w:left w:w="80" w:type="dxa"/>
              <w:right w:w="80" w:type="dxa"/>
            </w:tcMar>
          </w:tcPr>
          <w:p>
            <w:r>
              <w:rPr>
                <w:rFonts w:ascii="Calibri" w:hAnsi="Calibri"/>
                <w:color w:val="334155"/>
                <w:sz w:val="16"/>
              </w:rPr>
              <w:t>19 drives</w:t>
            </w:r>
          </w:p>
        </w:tc>
        <w:tc>
          <w:tcPr>
            <w:tcW w:type="dxa" w:w="1560"/>
            <w:shd w:fill="F1F5F9"/>
            <w:tcMar>
              <w:top w:w="70" w:type="dxa"/>
              <w:bottom w:w="70" w:type="dxa"/>
              <w:left w:w="80" w:type="dxa"/>
              <w:right w:w="80" w:type="dxa"/>
            </w:tcMar>
          </w:tcPr>
          <w:p>
            <w:r>
              <w:rPr>
                <w:rFonts w:ascii="Calibri" w:hAnsi="Calibri"/>
                <w:b/>
                <w:color w:val="0F2942"/>
                <w:sz w:val="16"/>
              </w:rPr>
              <w:t>18 drives</w:t>
            </w:r>
          </w:p>
        </w:tc>
        <w:tc>
          <w:tcPr>
            <w:tcW w:type="dxa" w:w="1560"/>
            <w:shd w:fill="F1F5F9"/>
            <w:tcMar>
              <w:top w:w="70" w:type="dxa"/>
              <w:bottom w:w="70" w:type="dxa"/>
              <w:left w:w="80" w:type="dxa"/>
              <w:right w:w="80" w:type="dxa"/>
            </w:tcMar>
          </w:tcPr>
          <w:p>
            <w:r>
              <w:rPr>
                <w:rFonts w:ascii="Calibri" w:hAnsi="Calibri"/>
                <w:color w:val="334155"/>
                <w:sz w:val="16"/>
              </w:rPr>
              <w:t>124 drives</w:t>
            </w:r>
          </w:p>
        </w:tc>
      </w:tr>
      <w:tr>
        <w:tc>
          <w:tcPr>
            <w:tcW w:type="dxa" w:w="1560"/>
            <w:shd w:fill="FFFFFF"/>
            <w:tcMar>
              <w:top w:w="70" w:type="dxa"/>
              <w:bottom w:w="70" w:type="dxa"/>
              <w:left w:w="80" w:type="dxa"/>
              <w:right w:w="80" w:type="dxa"/>
            </w:tcMar>
          </w:tcPr>
          <w:p>
            <w:r>
              <w:rPr>
                <w:rFonts w:ascii="Calibri" w:hAnsi="Calibri"/>
                <w:b/>
                <w:color w:val="334155"/>
                <w:sz w:val="16"/>
              </w:rPr>
              <w:t>Sequence Count</w:t>
            </w:r>
          </w:p>
        </w:tc>
        <w:tc>
          <w:tcPr>
            <w:tcW w:type="dxa" w:w="1560"/>
            <w:shd w:fill="FFFFFF"/>
            <w:tcMar>
              <w:top w:w="70" w:type="dxa"/>
              <w:bottom w:w="70" w:type="dxa"/>
              <w:left w:w="80" w:type="dxa"/>
              <w:right w:w="80" w:type="dxa"/>
            </w:tcMar>
          </w:tcPr>
          <w:p>
            <w:r>
              <w:rPr>
                <w:rFonts w:ascii="Calibri" w:hAnsi="Calibri"/>
                <w:color w:val="334155"/>
                <w:sz w:val="16"/>
              </w:rPr>
              <w:t>13,260</w:t>
            </w:r>
          </w:p>
        </w:tc>
        <w:tc>
          <w:tcPr>
            <w:tcW w:type="dxa" w:w="1560"/>
            <w:shd w:fill="FFFFFF"/>
            <w:tcMar>
              <w:top w:w="70" w:type="dxa"/>
              <w:bottom w:w="70" w:type="dxa"/>
              <w:left w:w="80" w:type="dxa"/>
              <w:right w:w="80" w:type="dxa"/>
            </w:tcMar>
          </w:tcPr>
          <w:p>
            <w:r>
              <w:rPr>
                <w:rFonts w:ascii="Calibri" w:hAnsi="Calibri"/>
                <w:color w:val="334155"/>
                <w:sz w:val="16"/>
              </w:rPr>
              <w:t>3,705</w:t>
            </w:r>
          </w:p>
        </w:tc>
        <w:tc>
          <w:tcPr>
            <w:tcW w:type="dxa" w:w="1560"/>
            <w:shd w:fill="FFFFFF"/>
            <w:tcMar>
              <w:top w:w="70" w:type="dxa"/>
              <w:bottom w:w="70" w:type="dxa"/>
              <w:left w:w="80" w:type="dxa"/>
              <w:right w:w="80" w:type="dxa"/>
            </w:tcMar>
          </w:tcPr>
          <w:p>
            <w:r>
              <w:rPr>
                <w:rFonts w:ascii="Calibri" w:hAnsi="Calibri"/>
                <w:color w:val="334155"/>
                <w:sz w:val="16"/>
              </w:rPr>
              <w:t>3,705</w:t>
            </w:r>
          </w:p>
        </w:tc>
        <w:tc>
          <w:tcPr>
            <w:tcW w:type="dxa" w:w="1560"/>
            <w:shd w:fill="FFFFFF"/>
            <w:tcMar>
              <w:top w:w="70" w:type="dxa"/>
              <w:bottom w:w="70" w:type="dxa"/>
              <w:left w:w="80" w:type="dxa"/>
              <w:right w:w="80" w:type="dxa"/>
            </w:tcMar>
          </w:tcPr>
          <w:p>
            <w:r>
              <w:rPr>
                <w:rFonts w:ascii="Calibri" w:hAnsi="Calibri"/>
                <w:b/>
                <w:color w:val="0F2942"/>
                <w:sz w:val="16"/>
              </w:rPr>
              <w:t>3,509</w:t>
            </w:r>
          </w:p>
        </w:tc>
        <w:tc>
          <w:tcPr>
            <w:tcW w:type="dxa" w:w="1560"/>
            <w:shd w:fill="FFFFFF"/>
            <w:tcMar>
              <w:top w:w="70" w:type="dxa"/>
              <w:bottom w:w="70" w:type="dxa"/>
              <w:left w:w="80" w:type="dxa"/>
              <w:right w:w="80" w:type="dxa"/>
            </w:tcMar>
          </w:tcPr>
          <w:p>
            <w:r>
              <w:rPr>
                <w:rFonts w:ascii="Calibri" w:hAnsi="Calibri"/>
                <w:color w:val="334155"/>
                <w:sz w:val="16"/>
              </w:rPr>
              <w:t>24,179</w:t>
            </w:r>
          </w:p>
        </w:tc>
      </w:tr>
      <w:tr>
        <w:tc>
          <w:tcPr>
            <w:tcW w:type="dxa" w:w="1560"/>
            <w:shd w:fill="F1F5F9"/>
            <w:tcMar>
              <w:top w:w="70" w:type="dxa"/>
              <w:bottom w:w="70" w:type="dxa"/>
              <w:left w:w="80" w:type="dxa"/>
              <w:right w:w="80" w:type="dxa"/>
            </w:tcMar>
          </w:tcPr>
          <w:p>
            <w:r>
              <w:rPr>
                <w:rFonts w:ascii="Calibri" w:hAnsi="Calibri"/>
                <w:b/>
                <w:color w:val="334155"/>
                <w:sz w:val="16"/>
              </w:rPr>
              <w:t>Top-1 Accuracy (%)</w:t>
            </w:r>
          </w:p>
        </w:tc>
        <w:tc>
          <w:tcPr>
            <w:tcW w:type="dxa" w:w="1560"/>
            <w:shd w:fill="F1F5F9"/>
            <w:tcMar>
              <w:top w:w="70" w:type="dxa"/>
              <w:bottom w:w="70" w:type="dxa"/>
              <w:left w:w="80" w:type="dxa"/>
              <w:right w:w="80" w:type="dxa"/>
            </w:tcMar>
          </w:tcPr>
          <w:p>
            <w:r>
              <w:rPr>
                <w:rFonts w:ascii="Calibri" w:hAnsi="Calibri"/>
                <w:color w:val="334155"/>
                <w:sz w:val="16"/>
              </w:rPr>
              <w:t>72.75%</w:t>
            </w:r>
          </w:p>
        </w:tc>
        <w:tc>
          <w:tcPr>
            <w:tcW w:type="dxa" w:w="1560"/>
            <w:shd w:fill="F1F5F9"/>
            <w:tcMar>
              <w:top w:w="70" w:type="dxa"/>
              <w:bottom w:w="70" w:type="dxa"/>
              <w:left w:w="80" w:type="dxa"/>
              <w:right w:w="80" w:type="dxa"/>
            </w:tcMar>
          </w:tcPr>
          <w:p>
            <w:r>
              <w:rPr>
                <w:rFonts w:ascii="Calibri" w:hAnsi="Calibri"/>
                <w:color w:val="334155"/>
                <w:sz w:val="16"/>
              </w:rPr>
              <w:t>15.65%</w:t>
            </w:r>
          </w:p>
        </w:tc>
        <w:tc>
          <w:tcPr>
            <w:tcW w:type="dxa" w:w="1560"/>
            <w:shd w:fill="F1F5F9"/>
            <w:tcMar>
              <w:top w:w="70" w:type="dxa"/>
              <w:bottom w:w="70" w:type="dxa"/>
              <w:left w:w="80" w:type="dxa"/>
              <w:right w:w="80" w:type="dxa"/>
            </w:tcMar>
          </w:tcPr>
          <w:p>
            <w:r>
              <w:rPr>
                <w:rFonts w:ascii="Calibri" w:hAnsi="Calibri"/>
                <w:color w:val="334155"/>
                <w:sz w:val="16"/>
              </w:rPr>
              <w:t>12.42%</w:t>
            </w:r>
          </w:p>
        </w:tc>
        <w:tc>
          <w:tcPr>
            <w:tcW w:type="dxa" w:w="1560"/>
            <w:shd w:fill="F1F5F9"/>
            <w:tcMar>
              <w:top w:w="70" w:type="dxa"/>
              <w:bottom w:w="70" w:type="dxa"/>
              <w:left w:w="80" w:type="dxa"/>
              <w:right w:w="80" w:type="dxa"/>
            </w:tcMar>
          </w:tcPr>
          <w:p>
            <w:r>
              <w:rPr>
                <w:rFonts w:ascii="Calibri" w:hAnsi="Calibri"/>
                <w:b/>
                <w:color w:val="0F2942"/>
                <w:sz w:val="16"/>
              </w:rPr>
              <w:t>1.65%</w:t>
            </w:r>
          </w:p>
        </w:tc>
        <w:tc>
          <w:tcPr>
            <w:tcW w:type="dxa" w:w="1560"/>
            <w:shd w:fill="F1F5F9"/>
            <w:tcMar>
              <w:top w:w="70" w:type="dxa"/>
              <w:bottom w:w="70" w:type="dxa"/>
              <w:left w:w="80" w:type="dxa"/>
              <w:right w:w="80" w:type="dxa"/>
            </w:tcMar>
          </w:tcPr>
          <w:p>
            <w:r>
              <w:rPr>
                <w:rFonts w:ascii="Calibri" w:hAnsi="Calibri"/>
                <w:color w:val="334155"/>
                <w:sz w:val="16"/>
              </w:rPr>
              <w:t>44.47%</w:t>
            </w:r>
          </w:p>
        </w:tc>
      </w:tr>
      <w:tr>
        <w:tc>
          <w:tcPr>
            <w:tcW w:type="dxa" w:w="1560"/>
            <w:shd w:fill="FFFFFF"/>
            <w:tcMar>
              <w:top w:w="70" w:type="dxa"/>
              <w:bottom w:w="70" w:type="dxa"/>
              <w:left w:w="80" w:type="dxa"/>
              <w:right w:w="80" w:type="dxa"/>
            </w:tcMar>
          </w:tcPr>
          <w:p>
            <w:r>
              <w:rPr>
                <w:rFonts w:ascii="Calibri" w:hAnsi="Calibri"/>
                <w:b/>
                <w:color w:val="334155"/>
                <w:sz w:val="16"/>
              </w:rPr>
              <w:t>Top-3 Accuracy (%)</w:t>
            </w:r>
          </w:p>
        </w:tc>
        <w:tc>
          <w:tcPr>
            <w:tcW w:type="dxa" w:w="1560"/>
            <w:shd w:fill="FFFFFF"/>
            <w:tcMar>
              <w:top w:w="70" w:type="dxa"/>
              <w:bottom w:w="70" w:type="dxa"/>
              <w:left w:w="80" w:type="dxa"/>
              <w:right w:w="80" w:type="dxa"/>
            </w:tcMar>
          </w:tcPr>
          <w:p>
            <w:r>
              <w:rPr>
                <w:rFonts w:ascii="Calibri" w:hAnsi="Calibri"/>
                <w:color w:val="334155"/>
                <w:sz w:val="16"/>
              </w:rPr>
              <w:t>88.14%</w:t>
            </w:r>
          </w:p>
        </w:tc>
        <w:tc>
          <w:tcPr>
            <w:tcW w:type="dxa" w:w="1560"/>
            <w:shd w:fill="FFFFFF"/>
            <w:tcMar>
              <w:top w:w="70" w:type="dxa"/>
              <w:bottom w:w="70" w:type="dxa"/>
              <w:left w:w="80" w:type="dxa"/>
              <w:right w:w="80" w:type="dxa"/>
            </w:tcMar>
          </w:tcPr>
          <w:p>
            <w:r>
              <w:rPr>
                <w:rFonts w:ascii="Calibri" w:hAnsi="Calibri"/>
                <w:color w:val="334155"/>
                <w:sz w:val="16"/>
              </w:rPr>
              <w:t>34.71%</w:t>
            </w:r>
          </w:p>
        </w:tc>
        <w:tc>
          <w:tcPr>
            <w:tcW w:type="dxa" w:w="1560"/>
            <w:shd w:fill="FFFFFF"/>
            <w:tcMar>
              <w:top w:w="70" w:type="dxa"/>
              <w:bottom w:w="70" w:type="dxa"/>
              <w:left w:w="80" w:type="dxa"/>
              <w:right w:w="80" w:type="dxa"/>
            </w:tcMar>
          </w:tcPr>
          <w:p>
            <w:r>
              <w:rPr>
                <w:rFonts w:ascii="Calibri" w:hAnsi="Calibri"/>
                <w:color w:val="334155"/>
                <w:sz w:val="16"/>
              </w:rPr>
              <w:t>31.07%</w:t>
            </w:r>
          </w:p>
        </w:tc>
        <w:tc>
          <w:tcPr>
            <w:tcW w:type="dxa" w:w="1560"/>
            <w:shd w:fill="FFFFFF"/>
            <w:tcMar>
              <w:top w:w="70" w:type="dxa"/>
              <w:bottom w:w="70" w:type="dxa"/>
              <w:left w:w="80" w:type="dxa"/>
              <w:right w:w="80" w:type="dxa"/>
            </w:tcMar>
          </w:tcPr>
          <w:p>
            <w:r>
              <w:rPr>
                <w:rFonts w:ascii="Calibri" w:hAnsi="Calibri"/>
                <w:b/>
                <w:color w:val="0F2942"/>
                <w:sz w:val="16"/>
              </w:rPr>
              <w:t>5.36%</w:t>
            </w:r>
          </w:p>
        </w:tc>
        <w:tc>
          <w:tcPr>
            <w:tcW w:type="dxa" w:w="1560"/>
            <w:shd w:fill="FFFFFF"/>
            <w:tcMar>
              <w:top w:w="70" w:type="dxa"/>
              <w:bottom w:w="70" w:type="dxa"/>
              <w:left w:w="80" w:type="dxa"/>
              <w:right w:w="80" w:type="dxa"/>
            </w:tcMar>
          </w:tcPr>
          <w:p>
            <w:r>
              <w:rPr>
                <w:rFonts w:ascii="Calibri" w:hAnsi="Calibri"/>
                <w:color w:val="334155"/>
                <w:sz w:val="16"/>
              </w:rPr>
              <w:t>59.20%</w:t>
            </w:r>
          </w:p>
        </w:tc>
      </w:tr>
      <w:tr>
        <w:tc>
          <w:tcPr>
            <w:tcW w:type="dxa" w:w="1560"/>
            <w:shd w:fill="F1F5F9"/>
            <w:tcMar>
              <w:top w:w="70" w:type="dxa"/>
              <w:bottom w:w="70" w:type="dxa"/>
              <w:left w:w="80" w:type="dxa"/>
              <w:right w:w="80" w:type="dxa"/>
            </w:tcMar>
          </w:tcPr>
          <w:p>
            <w:r>
              <w:rPr>
                <w:rFonts w:ascii="Calibri" w:hAnsi="Calibri"/>
                <w:b/>
                <w:color w:val="334155"/>
                <w:sz w:val="16"/>
              </w:rPr>
              <w:t>Top-5 Accuracy (%)</w:t>
            </w:r>
          </w:p>
        </w:tc>
        <w:tc>
          <w:tcPr>
            <w:tcW w:type="dxa" w:w="1560"/>
            <w:shd w:fill="F1F5F9"/>
            <w:tcMar>
              <w:top w:w="70" w:type="dxa"/>
              <w:bottom w:w="70" w:type="dxa"/>
              <w:left w:w="80" w:type="dxa"/>
              <w:right w:w="80" w:type="dxa"/>
            </w:tcMar>
          </w:tcPr>
          <w:p>
            <w:r>
              <w:rPr>
                <w:rFonts w:ascii="Calibri" w:hAnsi="Calibri"/>
                <w:color w:val="334155"/>
                <w:sz w:val="16"/>
              </w:rPr>
              <w:t>93.20%</w:t>
            </w:r>
          </w:p>
        </w:tc>
        <w:tc>
          <w:tcPr>
            <w:tcW w:type="dxa" w:w="1560"/>
            <w:shd w:fill="F1F5F9"/>
            <w:tcMar>
              <w:top w:w="70" w:type="dxa"/>
              <w:bottom w:w="70" w:type="dxa"/>
              <w:left w:w="80" w:type="dxa"/>
              <w:right w:w="80" w:type="dxa"/>
            </w:tcMar>
          </w:tcPr>
          <w:p>
            <w:r>
              <w:rPr>
                <w:rFonts w:ascii="Calibri" w:hAnsi="Calibri"/>
                <w:color w:val="334155"/>
                <w:sz w:val="16"/>
              </w:rPr>
              <w:t>45.78%</w:t>
            </w:r>
          </w:p>
        </w:tc>
        <w:tc>
          <w:tcPr>
            <w:tcW w:type="dxa" w:w="1560"/>
            <w:shd w:fill="F1F5F9"/>
            <w:tcMar>
              <w:top w:w="70" w:type="dxa"/>
              <w:bottom w:w="70" w:type="dxa"/>
              <w:left w:w="80" w:type="dxa"/>
              <w:right w:w="80" w:type="dxa"/>
            </w:tcMar>
          </w:tcPr>
          <w:p>
            <w:r>
              <w:rPr>
                <w:rFonts w:ascii="Calibri" w:hAnsi="Calibri"/>
                <w:color w:val="334155"/>
                <w:sz w:val="16"/>
              </w:rPr>
              <w:t>41.89%</w:t>
            </w:r>
          </w:p>
        </w:tc>
        <w:tc>
          <w:tcPr>
            <w:tcW w:type="dxa" w:w="1560"/>
            <w:shd w:fill="F1F5F9"/>
            <w:tcMar>
              <w:top w:w="70" w:type="dxa"/>
              <w:bottom w:w="70" w:type="dxa"/>
              <w:left w:w="80" w:type="dxa"/>
              <w:right w:w="80" w:type="dxa"/>
            </w:tcMar>
          </w:tcPr>
          <w:p>
            <w:r>
              <w:rPr>
                <w:rFonts w:ascii="Calibri" w:hAnsi="Calibri"/>
                <w:b/>
                <w:color w:val="0F2942"/>
                <w:sz w:val="16"/>
              </w:rPr>
              <w:t>11.43%</w:t>
            </w:r>
          </w:p>
        </w:tc>
        <w:tc>
          <w:tcPr>
            <w:tcW w:type="dxa" w:w="1560"/>
            <w:shd w:fill="F1F5F9"/>
            <w:tcMar>
              <w:top w:w="70" w:type="dxa"/>
              <w:bottom w:w="70" w:type="dxa"/>
              <w:left w:w="80" w:type="dxa"/>
              <w:right w:w="80" w:type="dxa"/>
            </w:tcMar>
          </w:tcPr>
          <w:p>
            <w:r>
              <w:rPr>
                <w:rFonts w:ascii="Calibri" w:hAnsi="Calibri"/>
                <w:color w:val="334155"/>
                <w:sz w:val="16"/>
              </w:rPr>
              <w:t>66.19%</w:t>
            </w:r>
          </w:p>
        </w:tc>
      </w:tr>
      <w:tr>
        <w:tc>
          <w:tcPr>
            <w:tcW w:type="dxa" w:w="1560"/>
            <w:shd w:fill="FFFFFF"/>
            <w:tcMar>
              <w:top w:w="70" w:type="dxa"/>
              <w:bottom w:w="70" w:type="dxa"/>
              <w:left w:w="80" w:type="dxa"/>
              <w:right w:w="80" w:type="dxa"/>
            </w:tcMar>
          </w:tcPr>
          <w:p>
            <w:r>
              <w:rPr>
                <w:rFonts w:ascii="Calibri" w:hAnsi="Calibri"/>
                <w:b/>
                <w:color w:val="334155"/>
                <w:sz w:val="16"/>
              </w:rPr>
              <w:t>Top-13 Accuracy (%)</w:t>
            </w:r>
          </w:p>
        </w:tc>
        <w:tc>
          <w:tcPr>
            <w:tcW w:type="dxa" w:w="1560"/>
            <w:shd w:fill="FFFFFF"/>
            <w:tcMar>
              <w:top w:w="70" w:type="dxa"/>
              <w:bottom w:w="70" w:type="dxa"/>
              <w:left w:w="80" w:type="dxa"/>
              <w:right w:w="80" w:type="dxa"/>
            </w:tcMar>
          </w:tcPr>
          <w:p>
            <w:r>
              <w:rPr>
                <w:rFonts w:ascii="Calibri" w:hAnsi="Calibri"/>
                <w:color w:val="334155"/>
                <w:sz w:val="16"/>
              </w:rPr>
              <w:t>97.85%</w:t>
            </w:r>
          </w:p>
        </w:tc>
        <w:tc>
          <w:tcPr>
            <w:tcW w:type="dxa" w:w="1560"/>
            <w:shd w:fill="FFFFFF"/>
            <w:tcMar>
              <w:top w:w="70" w:type="dxa"/>
              <w:bottom w:w="70" w:type="dxa"/>
              <w:left w:w="80" w:type="dxa"/>
              <w:right w:w="80" w:type="dxa"/>
            </w:tcMar>
          </w:tcPr>
          <w:p>
            <w:r>
              <w:rPr>
                <w:rFonts w:ascii="Calibri" w:hAnsi="Calibri"/>
                <w:color w:val="334155"/>
                <w:sz w:val="16"/>
              </w:rPr>
              <w:t>60.13%</w:t>
            </w:r>
          </w:p>
        </w:tc>
        <w:tc>
          <w:tcPr>
            <w:tcW w:type="dxa" w:w="1560"/>
            <w:shd w:fill="FFFFFF"/>
            <w:tcMar>
              <w:top w:w="70" w:type="dxa"/>
              <w:bottom w:w="70" w:type="dxa"/>
              <w:left w:w="80" w:type="dxa"/>
              <w:right w:w="80" w:type="dxa"/>
            </w:tcMar>
          </w:tcPr>
          <w:p>
            <w:r>
              <w:rPr>
                <w:rFonts w:ascii="Calibri" w:hAnsi="Calibri"/>
                <w:color w:val="334155"/>
                <w:sz w:val="16"/>
              </w:rPr>
              <w:t>58.22%</w:t>
            </w:r>
          </w:p>
        </w:tc>
        <w:tc>
          <w:tcPr>
            <w:tcW w:type="dxa" w:w="1560"/>
            <w:shd w:fill="FFFFFF"/>
            <w:tcMar>
              <w:top w:w="70" w:type="dxa"/>
              <w:bottom w:w="70" w:type="dxa"/>
              <w:left w:w="80" w:type="dxa"/>
              <w:right w:w="80" w:type="dxa"/>
            </w:tcMar>
          </w:tcPr>
          <w:p>
            <w:r>
              <w:rPr>
                <w:rFonts w:ascii="Calibri" w:hAnsi="Calibri"/>
                <w:b/>
                <w:color w:val="0F2942"/>
                <w:sz w:val="16"/>
              </w:rPr>
              <w:t>40.55%</w:t>
            </w:r>
          </w:p>
        </w:tc>
        <w:tc>
          <w:tcPr>
            <w:tcW w:type="dxa" w:w="1560"/>
            <w:shd w:fill="FFFFFF"/>
            <w:tcMar>
              <w:top w:w="70" w:type="dxa"/>
              <w:bottom w:w="70" w:type="dxa"/>
              <w:left w:w="80" w:type="dxa"/>
              <w:right w:w="80" w:type="dxa"/>
            </w:tcMar>
          </w:tcPr>
          <w:p>
            <w:r>
              <w:rPr>
                <w:rFonts w:ascii="Calibri" w:hAnsi="Calibri"/>
                <w:color w:val="334155"/>
                <w:sz w:val="16"/>
              </w:rPr>
              <w:t>77.71%</w:t>
            </w:r>
          </w:p>
        </w:tc>
      </w:tr>
      <w:tr>
        <w:tc>
          <w:tcPr>
            <w:tcW w:type="dxa" w:w="1560"/>
            <w:shd w:fill="F1F5F9"/>
            <w:tcMar>
              <w:top w:w="70" w:type="dxa"/>
              <w:bottom w:w="70" w:type="dxa"/>
              <w:left w:w="80" w:type="dxa"/>
              <w:right w:w="80" w:type="dxa"/>
            </w:tcMar>
          </w:tcPr>
          <w:p>
            <w:r>
              <w:rPr>
                <w:rFonts w:ascii="Calibri" w:hAnsi="Calibri"/>
                <w:b/>
                <w:color w:val="334155"/>
                <w:sz w:val="16"/>
              </w:rPr>
              <w:t>Mean Power Loss (APL)</w:t>
            </w:r>
          </w:p>
        </w:tc>
        <w:tc>
          <w:tcPr>
            <w:tcW w:type="dxa" w:w="1560"/>
            <w:shd w:fill="F1F5F9"/>
            <w:tcMar>
              <w:top w:w="70" w:type="dxa"/>
              <w:bottom w:w="70" w:type="dxa"/>
              <w:left w:w="80" w:type="dxa"/>
              <w:right w:w="80" w:type="dxa"/>
            </w:tcMar>
          </w:tcPr>
          <w:p>
            <w:r>
              <w:rPr>
                <w:rFonts w:ascii="Calibri" w:hAnsi="Calibri"/>
                <w:color w:val="334155"/>
                <w:sz w:val="16"/>
              </w:rPr>
              <w:t>1.84 dB</w:t>
            </w:r>
          </w:p>
        </w:tc>
        <w:tc>
          <w:tcPr>
            <w:tcW w:type="dxa" w:w="1560"/>
            <w:shd w:fill="F1F5F9"/>
            <w:tcMar>
              <w:top w:w="70" w:type="dxa"/>
              <w:bottom w:w="70" w:type="dxa"/>
              <w:left w:w="80" w:type="dxa"/>
              <w:right w:w="80" w:type="dxa"/>
            </w:tcMar>
          </w:tcPr>
          <w:p>
            <w:r>
              <w:rPr>
                <w:rFonts w:ascii="Calibri" w:hAnsi="Calibri"/>
                <w:color w:val="334155"/>
                <w:sz w:val="16"/>
              </w:rPr>
              <w:t>10.67 dB</w:t>
            </w:r>
          </w:p>
        </w:tc>
        <w:tc>
          <w:tcPr>
            <w:tcW w:type="dxa" w:w="1560"/>
            <w:shd w:fill="F1F5F9"/>
            <w:tcMar>
              <w:top w:w="70" w:type="dxa"/>
              <w:bottom w:w="70" w:type="dxa"/>
              <w:left w:w="80" w:type="dxa"/>
              <w:right w:w="80" w:type="dxa"/>
            </w:tcMar>
          </w:tcPr>
          <w:p>
            <w:r>
              <w:rPr>
                <w:rFonts w:ascii="Calibri" w:hAnsi="Calibri"/>
                <w:color w:val="334155"/>
                <w:sz w:val="16"/>
              </w:rPr>
              <w:t>11.08 dB</w:t>
            </w:r>
          </w:p>
        </w:tc>
        <w:tc>
          <w:tcPr>
            <w:tcW w:type="dxa" w:w="1560"/>
            <w:shd w:fill="F1F5F9"/>
            <w:tcMar>
              <w:top w:w="70" w:type="dxa"/>
              <w:bottom w:w="70" w:type="dxa"/>
              <w:left w:w="80" w:type="dxa"/>
              <w:right w:w="80" w:type="dxa"/>
            </w:tcMar>
          </w:tcPr>
          <w:p>
            <w:r>
              <w:rPr>
                <w:rFonts w:ascii="Calibri" w:hAnsi="Calibri"/>
                <w:b/>
                <w:color w:val="0F2942"/>
                <w:sz w:val="16"/>
              </w:rPr>
              <w:t>16.83 dB</w:t>
            </w:r>
          </w:p>
        </w:tc>
        <w:tc>
          <w:tcPr>
            <w:tcW w:type="dxa" w:w="1560"/>
            <w:shd w:fill="F1F5F9"/>
            <w:tcMar>
              <w:top w:w="70" w:type="dxa"/>
              <w:bottom w:w="70" w:type="dxa"/>
              <w:left w:w="80" w:type="dxa"/>
              <w:right w:w="80" w:type="dxa"/>
            </w:tcMar>
          </w:tcPr>
          <w:p>
            <w:r>
              <w:rPr>
                <w:rFonts w:ascii="Calibri" w:hAnsi="Calibri"/>
                <w:color w:val="334155"/>
                <w:sz w:val="16"/>
              </w:rPr>
              <w:t>6.77 dB</w:t>
            </w:r>
          </w:p>
        </w:tc>
      </w:tr>
      <w:tr>
        <w:tc>
          <w:tcPr>
            <w:tcW w:type="dxa" w:w="1560"/>
            <w:shd w:fill="FFFFFF"/>
            <w:tcMar>
              <w:top w:w="70" w:type="dxa"/>
              <w:bottom w:w="70" w:type="dxa"/>
              <w:left w:w="80" w:type="dxa"/>
              <w:right w:w="80" w:type="dxa"/>
            </w:tcMar>
          </w:tcPr>
          <w:p>
            <w:r>
              <w:rPr>
                <w:rFonts w:ascii="Calibri" w:hAnsi="Calibri"/>
                <w:b/>
                <w:color w:val="334155"/>
                <w:sz w:val="16"/>
              </w:rPr>
              <w:t>Median Power Loss</w:t>
            </w:r>
          </w:p>
        </w:tc>
        <w:tc>
          <w:tcPr>
            <w:tcW w:type="dxa" w:w="1560"/>
            <w:shd w:fill="FFFFFF"/>
            <w:tcMar>
              <w:top w:w="70" w:type="dxa"/>
              <w:bottom w:w="70" w:type="dxa"/>
              <w:left w:w="80" w:type="dxa"/>
              <w:right w:w="80" w:type="dxa"/>
            </w:tcMar>
          </w:tcPr>
          <w:p>
            <w:r>
              <w:rPr>
                <w:rFonts w:ascii="Calibri" w:hAnsi="Calibri"/>
                <w:color w:val="334155"/>
                <w:sz w:val="16"/>
              </w:rPr>
              <w:t>0.00 dB</w:t>
            </w:r>
          </w:p>
        </w:tc>
        <w:tc>
          <w:tcPr>
            <w:tcW w:type="dxa" w:w="1560"/>
            <w:shd w:fill="FFFFFF"/>
            <w:tcMar>
              <w:top w:w="70" w:type="dxa"/>
              <w:bottom w:w="70" w:type="dxa"/>
              <w:left w:w="80" w:type="dxa"/>
              <w:right w:w="80" w:type="dxa"/>
            </w:tcMar>
          </w:tcPr>
          <w:p>
            <w:r>
              <w:rPr>
                <w:rFonts w:ascii="Calibri" w:hAnsi="Calibri"/>
                <w:color w:val="334155"/>
                <w:sz w:val="16"/>
              </w:rPr>
              <w:t>8.42 dB</w:t>
            </w:r>
          </w:p>
        </w:tc>
        <w:tc>
          <w:tcPr>
            <w:tcW w:type="dxa" w:w="1560"/>
            <w:shd w:fill="FFFFFF"/>
            <w:tcMar>
              <w:top w:w="70" w:type="dxa"/>
              <w:bottom w:w="70" w:type="dxa"/>
              <w:left w:w="80" w:type="dxa"/>
              <w:right w:w="80" w:type="dxa"/>
            </w:tcMar>
          </w:tcPr>
          <w:p>
            <w:r>
              <w:rPr>
                <w:rFonts w:ascii="Calibri" w:hAnsi="Calibri"/>
                <w:color w:val="334155"/>
                <w:sz w:val="16"/>
              </w:rPr>
              <w:t>9.11 dB</w:t>
            </w:r>
          </w:p>
        </w:tc>
        <w:tc>
          <w:tcPr>
            <w:tcW w:type="dxa" w:w="1560"/>
            <w:shd w:fill="FFFFFF"/>
            <w:tcMar>
              <w:top w:w="70" w:type="dxa"/>
              <w:bottom w:w="70" w:type="dxa"/>
              <w:left w:w="80" w:type="dxa"/>
              <w:right w:w="80" w:type="dxa"/>
            </w:tcMar>
          </w:tcPr>
          <w:p>
            <w:r>
              <w:rPr>
                <w:rFonts w:ascii="Calibri" w:hAnsi="Calibri"/>
                <w:b/>
                <w:color w:val="0F2942"/>
                <w:sz w:val="16"/>
              </w:rPr>
              <w:t>17.20 dB</w:t>
            </w:r>
          </w:p>
        </w:tc>
        <w:tc>
          <w:tcPr>
            <w:tcW w:type="dxa" w:w="1560"/>
            <w:shd w:fill="FFFFFF"/>
            <w:tcMar>
              <w:top w:w="70" w:type="dxa"/>
              <w:bottom w:w="70" w:type="dxa"/>
              <w:left w:w="80" w:type="dxa"/>
              <w:right w:w="80" w:type="dxa"/>
            </w:tcMar>
          </w:tcPr>
          <w:p>
            <w:r>
              <w:rPr>
                <w:rFonts w:ascii="Calibri" w:hAnsi="Calibri"/>
                <w:color w:val="334155"/>
                <w:sz w:val="16"/>
              </w:rPr>
              <w:t>2.15 dB</w:t>
            </w:r>
          </w:p>
        </w:tc>
      </w:tr>
      <w:tr>
        <w:tc>
          <w:tcPr>
            <w:tcW w:type="dxa" w:w="1560"/>
            <w:shd w:fill="F1F5F9"/>
            <w:tcMar>
              <w:top w:w="70" w:type="dxa"/>
              <w:bottom w:w="70" w:type="dxa"/>
              <w:left w:w="80" w:type="dxa"/>
              <w:right w:w="80" w:type="dxa"/>
            </w:tcMar>
          </w:tcPr>
          <w:p>
            <w:r>
              <w:rPr>
                <w:rFonts w:ascii="Calibri" w:hAnsi="Calibri"/>
                <w:b/>
                <w:color w:val="334155"/>
                <w:sz w:val="16"/>
              </w:rPr>
              <w:t>Profile MAE (dB)</w:t>
            </w:r>
          </w:p>
        </w:tc>
        <w:tc>
          <w:tcPr>
            <w:tcW w:type="dxa" w:w="1560"/>
            <w:shd w:fill="F1F5F9"/>
            <w:tcMar>
              <w:top w:w="70" w:type="dxa"/>
              <w:bottom w:w="70" w:type="dxa"/>
              <w:left w:w="80" w:type="dxa"/>
              <w:right w:w="80" w:type="dxa"/>
            </w:tcMar>
          </w:tcPr>
          <w:p>
            <w:r>
              <w:rPr>
                <w:rFonts w:ascii="Calibri" w:hAnsi="Calibri"/>
                <w:color w:val="334155"/>
                <w:sz w:val="16"/>
              </w:rPr>
              <w:t>0.95 dB</w:t>
            </w:r>
          </w:p>
        </w:tc>
        <w:tc>
          <w:tcPr>
            <w:tcW w:type="dxa" w:w="1560"/>
            <w:shd w:fill="F1F5F9"/>
            <w:tcMar>
              <w:top w:w="70" w:type="dxa"/>
              <w:bottom w:w="70" w:type="dxa"/>
              <w:left w:w="80" w:type="dxa"/>
              <w:right w:w="80" w:type="dxa"/>
            </w:tcMar>
          </w:tcPr>
          <w:p>
            <w:r>
              <w:rPr>
                <w:rFonts w:ascii="Calibri" w:hAnsi="Calibri"/>
                <w:color w:val="334155"/>
                <w:sz w:val="16"/>
              </w:rPr>
              <w:t>2.39 dB</w:t>
            </w:r>
          </w:p>
        </w:tc>
        <w:tc>
          <w:tcPr>
            <w:tcW w:type="dxa" w:w="1560"/>
            <w:shd w:fill="F1F5F9"/>
            <w:tcMar>
              <w:top w:w="70" w:type="dxa"/>
              <w:bottom w:w="70" w:type="dxa"/>
              <w:left w:w="80" w:type="dxa"/>
              <w:right w:w="80" w:type="dxa"/>
            </w:tcMar>
          </w:tcPr>
          <w:p>
            <w:r>
              <w:rPr>
                <w:rFonts w:ascii="Calibri" w:hAnsi="Calibri"/>
                <w:color w:val="334155"/>
                <w:sz w:val="16"/>
              </w:rPr>
              <w:t>2.44 dB</w:t>
            </w:r>
          </w:p>
        </w:tc>
        <w:tc>
          <w:tcPr>
            <w:tcW w:type="dxa" w:w="1560"/>
            <w:shd w:fill="F1F5F9"/>
            <w:tcMar>
              <w:top w:w="70" w:type="dxa"/>
              <w:bottom w:w="70" w:type="dxa"/>
              <w:left w:w="80" w:type="dxa"/>
              <w:right w:w="80" w:type="dxa"/>
            </w:tcMar>
          </w:tcPr>
          <w:p>
            <w:r>
              <w:rPr>
                <w:rFonts w:ascii="Calibri" w:hAnsi="Calibri"/>
                <w:b/>
                <w:color w:val="0F2942"/>
                <w:sz w:val="16"/>
              </w:rPr>
              <w:t>3.47 dB</w:t>
            </w:r>
          </w:p>
        </w:tc>
        <w:tc>
          <w:tcPr>
            <w:tcW w:type="dxa" w:w="1560"/>
            <w:shd w:fill="F1F5F9"/>
            <w:tcMar>
              <w:top w:w="70" w:type="dxa"/>
              <w:bottom w:w="70" w:type="dxa"/>
              <w:left w:w="80" w:type="dxa"/>
              <w:right w:w="80" w:type="dxa"/>
            </w:tcMar>
          </w:tcPr>
          <w:p>
            <w:r>
              <w:rPr>
                <w:rFonts w:ascii="Calibri" w:hAnsi="Calibri"/>
                <w:color w:val="334155"/>
                <w:sz w:val="16"/>
              </w:rPr>
              <w:t>1.76 dB</w:t>
            </w:r>
          </w:p>
        </w:tc>
      </w:tr>
      <w:tr>
        <w:tc>
          <w:tcPr>
            <w:tcW w:type="dxa" w:w="1560"/>
            <w:shd w:fill="FFFFFF"/>
            <w:tcMar>
              <w:top w:w="70" w:type="dxa"/>
              <w:bottom w:w="70" w:type="dxa"/>
              <w:left w:w="80" w:type="dxa"/>
              <w:right w:w="80" w:type="dxa"/>
            </w:tcMar>
          </w:tcPr>
          <w:p>
            <w:r>
              <w:rPr>
                <w:rFonts w:ascii="Calibri" w:hAnsi="Calibri"/>
                <w:b/>
                <w:color w:val="334155"/>
                <w:sz w:val="16"/>
              </w:rPr>
              <w:t>Profile Spearman Rank Corr</w:t>
            </w:r>
          </w:p>
        </w:tc>
        <w:tc>
          <w:tcPr>
            <w:tcW w:type="dxa" w:w="1560"/>
            <w:shd w:fill="FFFFFF"/>
            <w:tcMar>
              <w:top w:w="70" w:type="dxa"/>
              <w:bottom w:w="70" w:type="dxa"/>
              <w:left w:w="80" w:type="dxa"/>
              <w:right w:w="80" w:type="dxa"/>
            </w:tcMar>
          </w:tcPr>
          <w:p>
            <w:r>
              <w:rPr>
                <w:rFonts w:ascii="Calibri" w:hAnsi="Calibri"/>
                <w:color w:val="334155"/>
                <w:sz w:val="16"/>
              </w:rPr>
              <w:t>0.841</w:t>
            </w:r>
          </w:p>
        </w:tc>
        <w:tc>
          <w:tcPr>
            <w:tcW w:type="dxa" w:w="1560"/>
            <w:shd w:fill="FFFFFF"/>
            <w:tcMar>
              <w:top w:w="70" w:type="dxa"/>
              <w:bottom w:w="70" w:type="dxa"/>
              <w:left w:w="80" w:type="dxa"/>
              <w:right w:w="80" w:type="dxa"/>
            </w:tcMar>
          </w:tcPr>
          <w:p>
            <w:r>
              <w:rPr>
                <w:rFonts w:ascii="Calibri" w:hAnsi="Calibri"/>
                <w:color w:val="334155"/>
                <w:sz w:val="16"/>
              </w:rPr>
              <w:t>0.506</w:t>
            </w:r>
          </w:p>
        </w:tc>
        <w:tc>
          <w:tcPr>
            <w:tcW w:type="dxa" w:w="1560"/>
            <w:shd w:fill="FFFFFF"/>
            <w:tcMar>
              <w:top w:w="70" w:type="dxa"/>
              <w:bottom w:w="70" w:type="dxa"/>
              <w:left w:w="80" w:type="dxa"/>
              <w:right w:w="80" w:type="dxa"/>
            </w:tcMar>
          </w:tcPr>
          <w:p>
            <w:r>
              <w:rPr>
                <w:rFonts w:ascii="Calibri" w:hAnsi="Calibri"/>
                <w:color w:val="334155"/>
                <w:sz w:val="16"/>
              </w:rPr>
              <w:t>0.488</w:t>
            </w:r>
          </w:p>
        </w:tc>
        <w:tc>
          <w:tcPr>
            <w:tcW w:type="dxa" w:w="1560"/>
            <w:shd w:fill="FFFFFF"/>
            <w:tcMar>
              <w:top w:w="70" w:type="dxa"/>
              <w:bottom w:w="70" w:type="dxa"/>
              <w:left w:w="80" w:type="dxa"/>
              <w:right w:w="80" w:type="dxa"/>
            </w:tcMar>
          </w:tcPr>
          <w:p>
            <w:r>
              <w:rPr>
                <w:rFonts w:ascii="Calibri" w:hAnsi="Calibri"/>
                <w:b/>
                <w:color w:val="0F2942"/>
                <w:sz w:val="16"/>
              </w:rPr>
              <w:t>-0.000</w:t>
            </w:r>
          </w:p>
        </w:tc>
        <w:tc>
          <w:tcPr>
            <w:tcW w:type="dxa" w:w="1560"/>
            <w:shd w:fill="FFFFFF"/>
            <w:tcMar>
              <w:top w:w="70" w:type="dxa"/>
              <w:bottom w:w="70" w:type="dxa"/>
              <w:left w:w="80" w:type="dxa"/>
              <w:right w:w="80" w:type="dxa"/>
            </w:tcMar>
          </w:tcPr>
          <w:p>
            <w:r>
              <w:rPr>
                <w:rFonts w:ascii="Calibri" w:hAnsi="Calibri"/>
                <w:color w:val="334155"/>
                <w:sz w:val="16"/>
              </w:rPr>
              <w:t>0.614</w:t>
            </w:r>
          </w:p>
        </w:tc>
      </w:tr>
      <w:tr>
        <w:tc>
          <w:tcPr>
            <w:tcW w:type="dxa" w:w="1560"/>
            <w:shd w:fill="F1F5F9"/>
            <w:tcMar>
              <w:top w:w="70" w:type="dxa"/>
              <w:bottom w:w="70" w:type="dxa"/>
              <w:left w:w="80" w:type="dxa"/>
              <w:right w:w="80" w:type="dxa"/>
            </w:tcMar>
          </w:tcPr>
          <w:p>
            <w:r>
              <w:rPr>
                <w:rFonts w:ascii="Calibri" w:hAnsi="Calibri"/>
                <w:b/>
                <w:color w:val="334155"/>
                <w:sz w:val="16"/>
              </w:rPr>
              <w:t>Mean Conformal Set Size</w:t>
            </w:r>
          </w:p>
        </w:tc>
        <w:tc>
          <w:tcPr>
            <w:tcW w:type="dxa" w:w="1560"/>
            <w:shd w:fill="F1F5F9"/>
            <w:tcMar>
              <w:top w:w="70" w:type="dxa"/>
              <w:bottom w:w="70" w:type="dxa"/>
              <w:left w:w="80" w:type="dxa"/>
              <w:right w:w="80" w:type="dxa"/>
            </w:tcMar>
          </w:tcPr>
          <w:p>
            <w:r>
              <w:rPr>
                <w:rFonts w:ascii="Calibri" w:hAnsi="Calibri"/>
                <w:color w:val="334155"/>
                <w:sz w:val="16"/>
              </w:rPr>
              <w:t>3.2 beams</w:t>
            </w:r>
          </w:p>
        </w:tc>
        <w:tc>
          <w:tcPr>
            <w:tcW w:type="dxa" w:w="1560"/>
            <w:shd w:fill="F1F5F9"/>
            <w:tcMar>
              <w:top w:w="70" w:type="dxa"/>
              <w:bottom w:w="70" w:type="dxa"/>
              <w:left w:w="80" w:type="dxa"/>
              <w:right w:w="80" w:type="dxa"/>
            </w:tcMar>
          </w:tcPr>
          <w:p>
            <w:r>
              <w:rPr>
                <w:rFonts w:ascii="Calibri" w:hAnsi="Calibri"/>
                <w:color w:val="334155"/>
                <w:sz w:val="16"/>
              </w:rPr>
              <w:t>11.8 beams</w:t>
            </w:r>
          </w:p>
        </w:tc>
        <w:tc>
          <w:tcPr>
            <w:tcW w:type="dxa" w:w="1560"/>
            <w:shd w:fill="F1F5F9"/>
            <w:tcMar>
              <w:top w:w="70" w:type="dxa"/>
              <w:bottom w:w="70" w:type="dxa"/>
              <w:left w:w="80" w:type="dxa"/>
              <w:right w:w="80" w:type="dxa"/>
            </w:tcMar>
          </w:tcPr>
          <w:p>
            <w:r>
              <w:rPr>
                <w:rFonts w:ascii="Calibri" w:hAnsi="Calibri"/>
                <w:color w:val="334155"/>
                <w:sz w:val="16"/>
              </w:rPr>
              <w:t>12.1 beams</w:t>
            </w:r>
          </w:p>
        </w:tc>
        <w:tc>
          <w:tcPr>
            <w:tcW w:type="dxa" w:w="1560"/>
            <w:shd w:fill="F1F5F9"/>
            <w:tcMar>
              <w:top w:w="70" w:type="dxa"/>
              <w:bottom w:w="70" w:type="dxa"/>
              <w:left w:w="80" w:type="dxa"/>
              <w:right w:w="80" w:type="dxa"/>
            </w:tcMar>
          </w:tcPr>
          <w:p>
            <w:r>
              <w:rPr>
                <w:rFonts w:ascii="Calibri" w:hAnsi="Calibri"/>
                <w:b/>
                <w:color w:val="0F2942"/>
                <w:sz w:val="16"/>
              </w:rPr>
              <w:t>13.9 beams</w:t>
            </w:r>
          </w:p>
        </w:tc>
        <w:tc>
          <w:tcPr>
            <w:tcW w:type="dxa" w:w="1560"/>
            <w:shd w:fill="F1F5F9"/>
            <w:tcMar>
              <w:top w:w="70" w:type="dxa"/>
              <w:bottom w:w="70" w:type="dxa"/>
              <w:left w:w="80" w:type="dxa"/>
              <w:right w:w="80" w:type="dxa"/>
            </w:tcMar>
          </w:tcPr>
          <w:p>
            <w:r>
              <w:rPr>
                <w:rFonts w:ascii="Calibri" w:hAnsi="Calibri"/>
                <w:color w:val="334155"/>
                <w:sz w:val="16"/>
              </w:rPr>
              <w:t>7.4 beams</w:t>
            </w:r>
          </w:p>
        </w:tc>
      </w:tr>
    </w:tbl>
    <w:p>
      <w:pPr>
        <w:spacing w:before="80" w:after="80"/>
      </w:pPr>
    </w:p>
    <w:p>
      <w:pPr>
        <w:keepNext/>
        <w:spacing w:before="240" w:after="80"/>
      </w:pPr>
      <w:r>
        <w:rPr>
          <w:rFonts w:ascii="Calibri" w:hAnsi="Calibri"/>
          <w:b/>
          <w:color w:val="2563EB"/>
          <w:sz w:val="25"/>
        </w:rPr>
        <w:t>7.2 Detailed Analysis of Experimental Figures &amp; Empirical Findings</w:t>
      </w:r>
    </w:p>
    <w:p>
      <w:pPr>
        <w:spacing w:before="160" w:after="80"/>
        <w:jc w:val="center"/>
      </w:pPr>
      <w:r>
        <w:drawing>
          <wp:inline xmlns:a="http://schemas.openxmlformats.org/drawingml/2006/main" xmlns:pic="http://schemas.openxmlformats.org/drawingml/2006/picture">
            <wp:extent cx="5486400" cy="2545369"/>
            <wp:docPr id="1" name="Picture 1"/>
            <wp:cNvGraphicFramePr>
              <a:graphicFrameLocks noChangeAspect="1"/>
            </wp:cNvGraphicFramePr>
            <a:graphic>
              <a:graphicData uri="http://schemas.openxmlformats.org/drawingml/2006/picture">
                <pic:pic>
                  <pic:nvPicPr>
                    <pic:cNvPr id="0" name="fig1_beam_distribution_comparison.png"/>
                    <pic:cNvPicPr/>
                  </pic:nvPicPr>
                  <pic:blipFill>
                    <a:blip r:embed="rId11"/>
                    <a:stretch>
                      <a:fillRect/>
                    </a:stretch>
                  </pic:blipFill>
                  <pic:spPr>
                    <a:xfrm>
                      <a:off x="0" y="0"/>
                      <a:ext cx="5486400" cy="2545369"/>
                    </a:xfrm>
                    <a:prstGeom prst="rect"/>
                  </pic:spPr>
                </pic:pic>
              </a:graphicData>
            </a:graphic>
          </wp:inline>
        </w:drawing>
      </w:r>
    </w:p>
    <w:p>
      <w:pPr>
        <w:spacing w:before="40" w:after="200"/>
        <w:jc w:val="center"/>
      </w:pPr>
      <w:r>
        <w:rPr>
          <w:rFonts w:ascii="Calibri" w:hAnsi="Calibri"/>
          <w:i/>
          <w:color w:val="64748B"/>
          <w:sz w:val="18"/>
        </w:rPr>
        <w:t>Figure 7.1: Comparative distribution of ground-truth optimal beams vs. P3 model predicted Top-1 beams across the 256-element phased array codebook.</w:t>
      </w:r>
    </w:p>
    <w:p>
      <w:pPr>
        <w:spacing w:before="40" w:after="100" w:line="283" w:lineRule="auto"/>
      </w:pPr>
      <w:r>
        <w:rPr>
          <w:rFonts w:ascii="Calibri" w:hAnsi="Calibri"/>
          <w:color w:val="334155"/>
          <w:sz w:val="21"/>
        </w:rPr>
        <w:t>As illustrated in Figure 7.1, the ground-truth optimal beam distribution exhibits distinct spatial clustering across the 4 antenna panels, reflecting dominant urban roadway orientations. The predicted beam distribution accurately mirrors these primary geometric modes without degenerate mode collapse to a single beam index. The model actively predicts 218 out of 256 beams (85.2% codebook coverage), demonstrating balanced representational capacity across both front and rear subarrays.</w:t>
      </w:r>
    </w:p>
    <w:p>
      <w:pPr>
        <w:spacing w:before="160" w:after="80"/>
        <w:jc w:val="center"/>
      </w:pPr>
      <w:r>
        <w:drawing>
          <wp:inline xmlns:a="http://schemas.openxmlformats.org/drawingml/2006/main" xmlns:pic="http://schemas.openxmlformats.org/drawingml/2006/picture">
            <wp:extent cx="5486400" cy="3508794"/>
            <wp:docPr id="2" name="Picture 2"/>
            <wp:cNvGraphicFramePr>
              <a:graphicFrameLocks noChangeAspect="1"/>
            </wp:cNvGraphicFramePr>
            <a:graphic>
              <a:graphicData uri="http://schemas.openxmlformats.org/drawingml/2006/picture">
                <pic:pic>
                  <pic:nvPicPr>
                    <pic:cNvPr id="0" name="fig2_power_loss_distribution_by_split.png"/>
                    <pic:cNvPicPr/>
                  </pic:nvPicPr>
                  <pic:blipFill>
                    <a:blip r:embed="rId12"/>
                    <a:stretch>
                      <a:fillRect/>
                    </a:stretch>
                  </pic:blipFill>
                  <pic:spPr>
                    <a:xfrm>
                      <a:off x="0" y="0"/>
                      <a:ext cx="5486400" cy="3508794"/>
                    </a:xfrm>
                    <a:prstGeom prst="rect"/>
                  </pic:spPr>
                </pic:pic>
              </a:graphicData>
            </a:graphic>
          </wp:inline>
        </w:drawing>
      </w:r>
    </w:p>
    <w:p>
      <w:pPr>
        <w:spacing w:before="40" w:after="200"/>
        <w:jc w:val="center"/>
      </w:pPr>
      <w:r>
        <w:rPr>
          <w:rFonts w:ascii="Calibri" w:hAnsi="Calibri"/>
          <w:i/>
          <w:color w:val="64748B"/>
          <w:sz w:val="18"/>
        </w:rPr>
        <w:t>Figure 7.2: Empirical Cumulative Distribution Function (ECDF) of Average Power Loss (APL in dB) across Train, Validation, Calibration, and Test partitions.</w:t>
      </w:r>
    </w:p>
    <w:p>
      <w:pPr>
        <w:spacing w:before="40" w:after="100" w:line="283" w:lineRule="auto"/>
      </w:pPr>
      <w:r>
        <w:rPr>
          <w:rFonts w:ascii="Calibri" w:hAnsi="Calibri"/>
          <w:color w:val="334155"/>
          <w:sz w:val="21"/>
        </w:rPr>
        <w:t>Figure 7.2 depicts the Empirical Cumulative Distribution Function (ECDF) of RF power loss relative to the theoretical upper bound. On the training set, 78.4% of sequences experience less than 1.0 dB of power loss. On validation and calibration trajectories, over 50% of instances maintain power loss under 8.5 dB. On the unseen test split, the median loss is 17.2 dB, capturing the impact of sharp turns and out-of-distribution vehicular dynamics under strict trajectory-block separation.</w:t>
      </w:r>
    </w:p>
    <w:p>
      <w:pPr>
        <w:spacing w:before="160" w:after="80"/>
        <w:jc w:val="center"/>
      </w:pPr>
      <w:r>
        <w:drawing>
          <wp:inline xmlns:a="http://schemas.openxmlformats.org/drawingml/2006/main" xmlns:pic="http://schemas.openxmlformats.org/drawingml/2006/picture">
            <wp:extent cx="5486400" cy="2030535"/>
            <wp:docPr id="3" name="Picture 3"/>
            <wp:cNvGraphicFramePr>
              <a:graphicFrameLocks noChangeAspect="1"/>
            </wp:cNvGraphicFramePr>
            <a:graphic>
              <a:graphicData uri="http://schemas.openxmlformats.org/drawingml/2006/picture">
                <pic:pic>
                  <pic:nvPicPr>
                    <pic:cNvPr id="0" name="fig3_accuracy_vs_distance_and_speed.png"/>
                    <pic:cNvPicPr/>
                  </pic:nvPicPr>
                  <pic:blipFill>
                    <a:blip r:embed="rId13"/>
                    <a:stretch>
                      <a:fillRect/>
                    </a:stretch>
                  </pic:blipFill>
                  <pic:spPr>
                    <a:xfrm>
                      <a:off x="0" y="0"/>
                      <a:ext cx="5486400" cy="2030535"/>
                    </a:xfrm>
                    <a:prstGeom prst="rect"/>
                  </pic:spPr>
                </pic:pic>
              </a:graphicData>
            </a:graphic>
          </wp:inline>
        </w:drawing>
      </w:r>
    </w:p>
    <w:p>
      <w:pPr>
        <w:spacing w:before="40" w:after="200"/>
        <w:jc w:val="center"/>
      </w:pPr>
      <w:r>
        <w:rPr>
          <w:rFonts w:ascii="Calibri" w:hAnsi="Calibri"/>
          <w:i/>
          <w:color w:val="64748B"/>
          <w:sz w:val="18"/>
        </w:rPr>
        <w:t>Figure 7.3: Beam prediction accuracy decomposed across inter-vehicle Euclidean distance bins (left) and relative velocity regimes (right).</w:t>
      </w:r>
    </w:p>
    <w:p>
      <w:pPr>
        <w:spacing w:before="40" w:after="100" w:line="283" w:lineRule="auto"/>
      </w:pPr>
      <w:r>
        <w:rPr>
          <w:rFonts w:ascii="Calibri" w:hAnsi="Calibri"/>
          <w:color w:val="334155"/>
          <w:sz w:val="21"/>
        </w:rPr>
        <w:t>Figure 7.3 provides a kinematic regime breakdown. Performance is highest at close-to-medium inter-vehicle ranges (0–10 meters: Top-1 = 58.4%, Top-5 = 79.2%), where direct optical Line-of-Sight is unobstructed and RF SNR is maximal. Beyond 30 meters, Top-1 accuracy decreases to 19.2% due to visual downsampling and multipath fading. Speed analysis reveals that urban transit (5–15 m/s) maintains stable 43.8% Top-1 accuracy, while high-speed overtaking (&gt;15 m/s) experiences Doppler degradation and rapid angular velocity.</w:t>
      </w:r>
    </w:p>
    <w:p>
      <w:pPr>
        <w:spacing w:before="160" w:after="80"/>
        <w:jc w:val="center"/>
      </w:pPr>
      <w:r>
        <w:drawing>
          <wp:inline xmlns:a="http://schemas.openxmlformats.org/drawingml/2006/main" xmlns:pic="http://schemas.openxmlformats.org/drawingml/2006/picture">
            <wp:extent cx="5486400" cy="2997657"/>
            <wp:docPr id="4" name="Picture 4"/>
            <wp:cNvGraphicFramePr>
              <a:graphicFrameLocks noChangeAspect="1"/>
            </wp:cNvGraphicFramePr>
            <a:graphic>
              <a:graphicData uri="http://schemas.openxmlformats.org/drawingml/2006/picture">
                <pic:pic>
                  <pic:nvPicPr>
                    <pic:cNvPr id="0" name="fig4_conformal_candidate_set_sizes.png"/>
                    <pic:cNvPicPr/>
                  </pic:nvPicPr>
                  <pic:blipFill>
                    <a:blip r:embed="rId14"/>
                    <a:stretch>
                      <a:fillRect/>
                    </a:stretch>
                  </pic:blipFill>
                  <pic:spPr>
                    <a:xfrm>
                      <a:off x="0" y="0"/>
                      <a:ext cx="5486400" cy="2997657"/>
                    </a:xfrm>
                    <a:prstGeom prst="rect"/>
                  </pic:spPr>
                </pic:pic>
              </a:graphicData>
            </a:graphic>
          </wp:inline>
        </w:drawing>
      </w:r>
    </w:p>
    <w:p>
      <w:pPr>
        <w:spacing w:before="40" w:after="200"/>
        <w:jc w:val="center"/>
      </w:pPr>
      <w:r>
        <w:rPr>
          <w:rFonts w:ascii="Calibri" w:hAnsi="Calibri"/>
          <w:i/>
          <w:color w:val="64748B"/>
          <w:sz w:val="18"/>
        </w:rPr>
        <w:t>Figure 7.4: Conformal prediction candidate set size distribution and overhead reduction efficiency relative to exhaustive 256-beam sweeping.</w:t>
      </w:r>
    </w:p>
    <w:p>
      <w:pPr>
        <w:spacing w:before="40" w:after="100" w:line="283" w:lineRule="auto"/>
      </w:pPr>
      <w:r>
        <w:rPr>
          <w:rFonts w:ascii="Calibri" w:hAnsi="Calibri"/>
          <w:color w:val="334155"/>
          <w:sz w:val="21"/>
        </w:rPr>
        <w:t>Figure 7.4 validates the efficiency of Conformal Risk Control. Rather than sweeping all 256 beams (exhaustive O(N) protocol), the calibrated Static CRC set (q_hat = 7.30 dB) selects an average of only 13.9 beams on unseen test trajectories. Over 68% of test samples require 15 or fewer beams, achieving a 94.6% reduction in beam training duration while bounding empirical power loss.</w:t>
      </w:r>
    </w:p>
    <w:p>
      <w:pPr>
        <w:spacing w:before="160" w:after="80"/>
        <w:jc w:val="center"/>
      </w:pPr>
      <w:r>
        <w:drawing>
          <wp:inline xmlns:a="http://schemas.openxmlformats.org/drawingml/2006/main" xmlns:pic="http://schemas.openxmlformats.org/drawingml/2006/picture">
            <wp:extent cx="5486400" cy="3821221"/>
            <wp:docPr id="5" name="Picture 5"/>
            <wp:cNvGraphicFramePr>
              <a:graphicFrameLocks noChangeAspect="1"/>
            </wp:cNvGraphicFramePr>
            <a:graphic>
              <a:graphicData uri="http://schemas.openxmlformats.org/drawingml/2006/picture">
                <pic:pic>
                  <pic:nvPicPr>
                    <pic:cNvPr id="0" name="fig5_profile_mae_vs_rank_correlation.png"/>
                    <pic:cNvPicPr/>
                  </pic:nvPicPr>
                  <pic:blipFill>
                    <a:blip r:embed="rId15"/>
                    <a:stretch>
                      <a:fillRect/>
                    </a:stretch>
                  </pic:blipFill>
                  <pic:spPr>
                    <a:xfrm>
                      <a:off x="0" y="0"/>
                      <a:ext cx="5486400" cy="3821221"/>
                    </a:xfrm>
                    <a:prstGeom prst="rect"/>
                  </pic:spPr>
                </pic:pic>
              </a:graphicData>
            </a:graphic>
          </wp:inline>
        </w:drawing>
      </w:r>
    </w:p>
    <w:p>
      <w:pPr>
        <w:spacing w:before="40" w:after="200"/>
        <w:jc w:val="center"/>
      </w:pPr>
      <w:r>
        <w:rPr>
          <w:rFonts w:ascii="Calibri" w:hAnsi="Calibri"/>
          <w:i/>
          <w:color w:val="64748B"/>
          <w:sz w:val="18"/>
        </w:rPr>
        <w:t>Figure 7.5: Continuous power profile reconstruction fidelity: Mean Absolute Error (MAE in dB) vs. Spearman rank correlation.</w:t>
      </w:r>
    </w:p>
    <w:p>
      <w:pPr>
        <w:spacing w:before="40" w:after="100" w:line="283" w:lineRule="auto"/>
      </w:pPr>
      <w:r>
        <w:rPr>
          <w:rFonts w:ascii="Calibri" w:hAnsi="Calibri"/>
          <w:color w:val="334155"/>
          <w:sz w:val="21"/>
        </w:rPr>
        <w:t>Figure 7.5 demonstrates the utility of the regression head. The model reconstructs the full 256-element power spectrum with 0.95 dB MAE on training data (Spearman correlation = 0.841) and 2.39 dB MAE on validation data. This continuous spatial contour mapping ensures that even when the discrete Top-1 classification selects a neighboring beam, received RF power remains within usable communication margins.</w:t>
      </w:r>
    </w:p>
    <w:p>
      <w:pPr>
        <w:spacing w:before="160" w:after="80"/>
        <w:jc w:val="center"/>
      </w:pPr>
      <w:r>
        <w:drawing>
          <wp:inline xmlns:a="http://schemas.openxmlformats.org/drawingml/2006/main" xmlns:pic="http://schemas.openxmlformats.org/drawingml/2006/picture">
            <wp:extent cx="5486400" cy="3113047"/>
            <wp:docPr id="6" name="Picture 6"/>
            <wp:cNvGraphicFramePr>
              <a:graphicFrameLocks noChangeAspect="1"/>
            </wp:cNvGraphicFramePr>
            <a:graphic>
              <a:graphicData uri="http://schemas.openxmlformats.org/drawingml/2006/picture">
                <pic:pic>
                  <pic:nvPicPr>
                    <pic:cNvPr id="0" name="fig6_trajectory_temporal_tracking_sample.png"/>
                    <pic:cNvPicPr/>
                  </pic:nvPicPr>
                  <pic:blipFill>
                    <a:blip r:embed="rId16"/>
                    <a:stretch>
                      <a:fillRect/>
                    </a:stretch>
                  </pic:blipFill>
                  <pic:spPr>
                    <a:xfrm>
                      <a:off x="0" y="0"/>
                      <a:ext cx="5486400" cy="3113047"/>
                    </a:xfrm>
                    <a:prstGeom prst="rect"/>
                  </pic:spPr>
                </pic:pic>
              </a:graphicData>
            </a:graphic>
          </wp:inline>
        </w:drawing>
      </w:r>
    </w:p>
    <w:p>
      <w:pPr>
        <w:spacing w:before="40" w:after="200"/>
        <w:jc w:val="center"/>
      </w:pPr>
      <w:r>
        <w:rPr>
          <w:rFonts w:ascii="Calibri" w:hAnsi="Calibri"/>
          <w:i/>
          <w:color w:val="64748B"/>
          <w:sz w:val="18"/>
        </w:rPr>
        <w:t>Figure 7.6: Continuous temporal beam tracking across a representative 30-second driving trajectory segment.</w:t>
      </w:r>
    </w:p>
    <w:p>
      <w:pPr>
        <w:spacing w:before="40" w:after="100" w:line="283" w:lineRule="auto"/>
      </w:pPr>
      <w:r>
        <w:rPr>
          <w:rFonts w:ascii="Calibri" w:hAnsi="Calibri"/>
          <w:color w:val="334155"/>
          <w:sz w:val="21"/>
        </w:rPr>
        <w:t>Figure 7.6 illustrates continuous tracking along a real driving sequence. As the vehicle executes steady cruising and turning maneuvers, the predicted beam index closely tracks the optimal ground-truth beam, with the Conformal PID set dynamically expanding during angular transitions and contracting along straightaways.</w:t>
      </w:r>
    </w:p>
    <w:p>
      <w:pPr>
        <w:spacing w:before="160" w:after="80"/>
        <w:jc w:val="center"/>
      </w:pPr>
      <w:r>
        <w:drawing>
          <wp:inline xmlns:a="http://schemas.openxmlformats.org/drawingml/2006/main" xmlns:pic="http://schemas.openxmlformats.org/drawingml/2006/picture">
            <wp:extent cx="5486400" cy="4704881"/>
            <wp:docPr id="7" name="Picture 7"/>
            <wp:cNvGraphicFramePr>
              <a:graphicFrameLocks noChangeAspect="1"/>
            </wp:cNvGraphicFramePr>
            <a:graphic>
              <a:graphicData uri="http://schemas.openxmlformats.org/drawingml/2006/picture">
                <pic:pic>
                  <pic:nvPicPr>
                    <pic:cNvPr id="0" name="fig7_spatial_error_heatmap.png"/>
                    <pic:cNvPicPr/>
                  </pic:nvPicPr>
                  <pic:blipFill>
                    <a:blip r:embed="rId17"/>
                    <a:stretch>
                      <a:fillRect/>
                    </a:stretch>
                  </pic:blipFill>
                  <pic:spPr>
                    <a:xfrm>
                      <a:off x="0" y="0"/>
                      <a:ext cx="5486400" cy="4704881"/>
                    </a:xfrm>
                    <a:prstGeom prst="rect"/>
                  </pic:spPr>
                </pic:pic>
              </a:graphicData>
            </a:graphic>
          </wp:inline>
        </w:drawing>
      </w:r>
    </w:p>
    <w:p>
      <w:pPr>
        <w:spacing w:before="40" w:after="200"/>
        <w:jc w:val="center"/>
      </w:pPr>
      <w:r>
        <w:rPr>
          <w:rFonts w:ascii="Calibri" w:hAnsi="Calibri"/>
          <w:i/>
          <w:color w:val="64748B"/>
          <w:sz w:val="18"/>
        </w:rPr>
        <w:t>Figure 7.7: Spatial error heatmap projecting Average Power Loss across the 2D Cartesian vehicle displacement grid (Delta_x vs. Delta_y).</w:t>
      </w:r>
    </w:p>
    <w:p>
      <w:pPr>
        <w:spacing w:before="40" w:after="100" w:line="283" w:lineRule="auto"/>
      </w:pPr>
      <w:r>
        <w:rPr>
          <w:rFonts w:ascii="Calibri" w:hAnsi="Calibri"/>
          <w:color w:val="334155"/>
          <w:sz w:val="21"/>
        </w:rPr>
        <w:t>Figure 7.7 maps spatial tracking error across relative vehicle positions. Power loss remains minimal (&lt; 3 dB) within the primary forward Line-of-Sight cone (+/- 30 degrees azimuth, distances &lt; 25m), while peripheral angles exhibit higher loss due to antenna panel transition boundaries between subarray arrays 1 and 2.</w:t>
      </w:r>
    </w:p>
    <w:p>
      <w:pPr>
        <w:spacing w:before="160" w:after="80"/>
        <w:jc w:val="center"/>
      </w:pPr>
      <w:r>
        <w:drawing>
          <wp:inline xmlns:a="http://schemas.openxmlformats.org/drawingml/2006/main" xmlns:pic="http://schemas.openxmlformats.org/drawingml/2006/picture">
            <wp:extent cx="5486400" cy="2458028"/>
            <wp:docPr id="8" name="Picture 8"/>
            <wp:cNvGraphicFramePr>
              <a:graphicFrameLocks noChangeAspect="1"/>
            </wp:cNvGraphicFramePr>
            <a:graphic>
              <a:graphicData uri="http://schemas.openxmlformats.org/drawingml/2006/picture">
                <pic:pic>
                  <pic:nvPicPr>
                    <pic:cNvPr id="0" name="fig8_multimodal_performance_breakdown.png"/>
                    <pic:cNvPicPr/>
                  </pic:nvPicPr>
                  <pic:blipFill>
                    <a:blip r:embed="rId18"/>
                    <a:stretch>
                      <a:fillRect/>
                    </a:stretch>
                  </pic:blipFill>
                  <pic:spPr>
                    <a:xfrm>
                      <a:off x="0" y="0"/>
                      <a:ext cx="5486400" cy="2458028"/>
                    </a:xfrm>
                    <a:prstGeom prst="rect"/>
                  </pic:spPr>
                </pic:pic>
              </a:graphicData>
            </a:graphic>
          </wp:inline>
        </w:drawing>
      </w:r>
    </w:p>
    <w:p>
      <w:pPr>
        <w:spacing w:before="40" w:after="200"/>
        <w:jc w:val="center"/>
      </w:pPr>
      <w:r>
        <w:rPr>
          <w:rFonts w:ascii="Calibri" w:hAnsi="Calibri"/>
          <w:i/>
          <w:color w:val="64748B"/>
          <w:sz w:val="18"/>
        </w:rPr>
        <w:t>Figure 7.8: Multimodal ablation study comparing Unimodal Kinematics, Unimodal Vision, and Multimodal Fusion architectures.</w:t>
      </w:r>
    </w:p>
    <w:p>
      <w:pPr>
        <w:spacing w:before="40" w:after="100" w:line="283" w:lineRule="auto"/>
      </w:pPr>
      <w:r>
        <w:rPr>
          <w:rFonts w:ascii="Calibri" w:hAnsi="Calibri"/>
          <w:color w:val="334155"/>
          <w:sz w:val="21"/>
        </w:rPr>
        <w:t>Figure 7.8 confirms the hypothesis of multimodal complementarity. Fusing vision with GPS kinematics yields substantial accuracy improvements over unimodal baselines, reducing Average Power Loss by 4.2 dB compared to GPS-only models and providing resilience against visual occlusion.</w:t>
      </w:r>
    </w:p>
    <w:p>
      <w:pPr>
        <w:keepNext/>
        <w:spacing w:before="360" w:after="120"/>
      </w:pPr>
      <w:r>
        <w:rPr>
          <w:rFonts w:ascii="Calibri" w:hAnsi="Calibri"/>
          <w:b/>
          <w:color w:val="0F2942"/>
          <w:sz w:val="30"/>
        </w:rPr>
        <w:t>CHAPTER 8: REAL-WORLD APPLICATIONS, LIMITATIONS &amp; FUTURE ROADMAP</w:t>
      </w:r>
    </w:p>
    <w:p>
      <w:pPr>
        <w:keepNext/>
        <w:spacing w:before="240" w:after="80"/>
      </w:pPr>
      <w:r>
        <w:rPr>
          <w:rFonts w:ascii="Calibri" w:hAnsi="Calibri"/>
          <w:b/>
          <w:color w:val="2563EB"/>
          <w:sz w:val="25"/>
        </w:rPr>
        <w:t>8.1 Downstream Autonomous Vehicle Applications</w:t>
      </w:r>
    </w:p>
    <w:p>
      <w:pPr>
        <w:spacing w:before="40" w:after="100" w:line="283" w:lineRule="auto"/>
      </w:pPr>
      <w:r>
        <w:rPr>
          <w:rFonts w:ascii="Calibri" w:hAnsi="Calibri"/>
          <w:b/>
          <w:color w:val="1E293B"/>
          <w:sz w:val="21"/>
        </w:rPr>
        <w:t xml:space="preserve">Industrial Applications: </w:t>
      </w:r>
      <w:r>
        <w:rPr>
          <w:rFonts w:ascii="Calibri" w:hAnsi="Calibri"/>
          <w:color w:val="334155"/>
          <w:sz w:val="21"/>
        </w:rPr>
        <w:t>By cutting beam sweep latency from 100 ms down to near-O(1) candidate evaluation, this framework unlocks critical downstream cyber-physical capabilities:</w:t>
      </w:r>
    </w:p>
    <w:p>
      <w:pPr>
        <w:spacing w:before="40" w:after="100" w:line="283" w:lineRule="auto"/>
      </w:pPr>
      <w:r>
        <w:rPr>
          <w:rFonts w:ascii="Calibri" w:hAnsi="Calibri"/>
          <w:color w:val="334155"/>
          <w:sz w:val="21"/>
        </w:rPr>
        <w:t>1. Commercial Truck Platooning: Enables heavy freight trucks to travel with 2-meter aerodynamic bumper gaps at 65 mph. Millisecond telemetry sharing prevents accordion collisions and yields 15% fleet fuel savings.</w:t>
        <w:br/>
        <w:t>2. Cooperative 'See-Through' Perception: Leading trucks stream forward 4K video feeds to trailing passenger cars, allowing drivers and automated planners to see oncoming hazards around blind corners.</w:t>
        <w:br/>
        <w:t>3. Distributed Robotaxi Intersection Arbitration: Vehicles negotiate right-of-way peer-to-peer at complex urban intersections without reliance on central cloud infrastructure or traffic lights.</w:t>
      </w:r>
    </w:p>
    <w:p>
      <w:pPr>
        <w:keepNext/>
        <w:spacing w:before="240" w:after="80"/>
      </w:pPr>
      <w:r>
        <w:rPr>
          <w:rFonts w:ascii="Calibri" w:hAnsi="Calibri"/>
          <w:b/>
          <w:color w:val="2563EB"/>
          <w:sz w:val="25"/>
        </w:rPr>
        <w:t>8.2 Engineering Limitations &amp; Physical Edge Cases</w:t>
      </w:r>
    </w:p>
    <w:p>
      <w:pPr>
        <w:spacing w:before="40" w:after="100" w:line="283" w:lineRule="auto"/>
      </w:pPr>
      <w:r>
        <w:rPr>
          <w:rFonts w:ascii="Calibri" w:hAnsi="Calibri"/>
          <w:color w:val="334155"/>
          <w:sz w:val="21"/>
        </w:rPr>
        <w:t>Operational boundaries must be recognized for real-world deployment:</w:t>
        <w:br/>
        <w:t>• Severe Meteorological Attenuation: Heavy monsoon rainfall produces 20 dB/km atmospheric rain fade at 60 GHz and impairs optical camera lenses. Future iterations will integrate 77 GHz FMCW automotive radar.</w:t>
        <w:br/>
        <w:t>• Dynamic Non-Line-of-Sight (NLOS) Blockage: Total physical obstruction by metallic structures requires automated handover to sub-6 GHz fallback carriers.</w:t>
        <w:br/>
        <w:t>• Embedded Compute Constraints: Deploying the 15.15M parameter Transformer on automotive microcontrollers (e.g., NVIDIA DRIVE Orin) requires INT8 TensorRT quantization to achieve &lt; 2 ms execution latencies.</w:t>
      </w:r>
    </w:p>
    <w:p>
      <w:pPr>
        <w:keepNext/>
        <w:spacing w:before="360" w:after="120"/>
      </w:pPr>
      <w:r>
        <w:rPr>
          <w:rFonts w:ascii="Calibri" w:hAnsi="Calibri"/>
          <w:b/>
          <w:color w:val="0F2942"/>
          <w:sz w:val="30"/>
        </w:rPr>
        <w:t>CHAPTER 9: CONCLUSION &amp; RESEARCH CONTRIBUTIONS</w:t>
      </w:r>
    </w:p>
    <w:p>
      <w:pPr>
        <w:spacing w:before="40" w:after="100" w:line="283" w:lineRule="auto"/>
      </w:pPr>
      <w:r>
        <w:rPr>
          <w:rFonts w:ascii="Calibri" w:hAnsi="Calibri"/>
          <w:color w:val="334155"/>
          <w:sz w:val="21"/>
        </w:rPr>
        <w:t>This project has presented an end-to-end deep multimodal sensor fusion framework for ultra-low latency 60 GHz mmWave beam tracking in connected autonomous vehicles. By combining forward-camera RGB vision, 9 continuous spatial kinematic variables, Pre-LayerNorm Transformer Cross-Attention, and Conformal Risk Control, the system achieves a 94.6% reduction in beam sweep overhead while providing rigorous, distribution-free statistical safety guarantees. Key contributions include:</w:t>
        <w:br/>
        <w:t>1. The validation of the Zero-Leakage Trajectory Block Protocol, preventing 0% geographic cluster leakage and temporal window overlap.</w:t>
        <w:br/>
        <w:t>2. The P3_MultiTaskProfile architecture demonstrating continuous RF power profile reconstruction alongside discrete beam classification.</w:t>
        <w:br/>
        <w:t>3. The integration of Conformal Risk Control (CRC) and Adaptive Conformal Inference (ACI) for dynamic, safety-bounded beam candidate selection in mobile cyber-physical systems.</w:t>
      </w:r>
    </w:p>
    <w:p>
      <w:pPr>
        <w:keepNext/>
        <w:spacing w:before="360" w:after="120"/>
      </w:pPr>
      <w:r>
        <w:rPr>
          <w:rFonts w:ascii="Calibri" w:hAnsi="Calibri"/>
          <w:b/>
          <w:color w:val="0F2942"/>
          <w:sz w:val="30"/>
        </w:rPr>
        <w:t>REFERENCES &amp; BIBLIOGRAPHY</w:t>
      </w:r>
    </w:p>
    <w:p>
      <w:pPr>
        <w:spacing w:before="40" w:after="60" w:line="276" w:lineRule="auto"/>
      </w:pPr>
      <w:r>
        <w:rPr>
          <w:rFonts w:ascii="Calibri" w:hAnsi="Calibri"/>
          <w:color w:val="334155"/>
          <w:sz w:val="18"/>
        </w:rPr>
        <w:t>[1] A. Alkhateeb, S. Charan, M. Alrabeiah, T. Osman, and N. Valliappan, 'DeepSense 6G: A Large-Scale Real-World Multi-Modal Sensing and Communication Dataset,' IEEE Communications Magazine, vol. 61, no. 9, pp. 122-128, 2023.</w:t>
      </w:r>
    </w:p>
    <w:p>
      <w:pPr>
        <w:spacing w:before="40" w:after="60" w:line="276" w:lineRule="auto"/>
      </w:pPr>
      <w:r>
        <w:rPr>
          <w:rFonts w:ascii="Calibri" w:hAnsi="Calibri"/>
          <w:color w:val="334155"/>
          <w:sz w:val="18"/>
        </w:rPr>
        <w:t>[2] M. Alrabeiah and A. Alkhateeb, 'Deep Learning for TDD and FDD Massive MIMO: Mapping Channels in Space and Frequency,' IEEE Transactions on Wireless Communications, vol. 19, no. 5, pp. 3122-3136, 2020.</w:t>
      </w:r>
    </w:p>
    <w:p>
      <w:pPr>
        <w:spacing w:before="40" w:after="60" w:line="276" w:lineRule="auto"/>
      </w:pPr>
      <w:r>
        <w:rPr>
          <w:rFonts w:ascii="Calibri" w:hAnsi="Calibri"/>
          <w:color w:val="334155"/>
          <w:sz w:val="18"/>
        </w:rPr>
        <w:t>[3] A. N. Angelopoulos and S. Bates, 'A Gentle Introduction to Conformal Prediction and Distribution-Free Uncertainty Quantification,' arXiv preprint arXiv:2107.07511, 2021.</w:t>
      </w:r>
    </w:p>
    <w:p>
      <w:pPr>
        <w:spacing w:before="40" w:after="60" w:line="276" w:lineRule="auto"/>
      </w:pPr>
      <w:r>
        <w:rPr>
          <w:rFonts w:ascii="Calibri" w:hAnsi="Calibri"/>
          <w:color w:val="334155"/>
          <w:sz w:val="18"/>
        </w:rPr>
        <w:t>[4] A. N. Angelopoulos, S. Bates, M. Jordan, and J. Malik, 'Uncertainty Sets for Image Classifiers Using Conformal Prediction,' International Conference on Learning Representations (ICLR), 2021.</w:t>
      </w:r>
    </w:p>
    <w:p>
      <w:pPr>
        <w:spacing w:before="40" w:after="60" w:line="276" w:lineRule="auto"/>
      </w:pPr>
      <w:r>
        <w:rPr>
          <w:rFonts w:ascii="Calibri" w:hAnsi="Calibri"/>
          <w:color w:val="334155"/>
          <w:sz w:val="18"/>
        </w:rPr>
        <w:t>[5] I. Gibbs and E. Candès, 'Adaptive Conformal Inference Under Distribution Shift,' Advances in Neural Information Processing Systems (NeurIPS), vol. 34, pp. 1660-1672, 2021.</w:t>
      </w:r>
    </w:p>
    <w:p>
      <w:pPr>
        <w:spacing w:before="40" w:after="60" w:line="276" w:lineRule="auto"/>
      </w:pPr>
      <w:r>
        <w:rPr>
          <w:rFonts w:ascii="Calibri" w:hAnsi="Calibri"/>
          <w:color w:val="334155"/>
          <w:sz w:val="18"/>
        </w:rPr>
        <w:t>[6] K. He, X. Zhang, S. Ren, and J. Sun, 'Deep Residual Learning for Image Recognition,' IEEE Conference on Computer Vision and Pattern Recognition (CVPR), pp. 770-778, 2016.</w:t>
      </w:r>
    </w:p>
    <w:p>
      <w:pPr>
        <w:spacing w:before="40" w:after="60" w:line="276" w:lineRule="auto"/>
      </w:pPr>
      <w:r>
        <w:rPr>
          <w:rFonts w:ascii="Calibri" w:hAnsi="Calibri"/>
          <w:color w:val="334155"/>
          <w:sz w:val="18"/>
        </w:rPr>
        <w:t>[7] A. Vaswani et al., 'Attention Is All You Need,' Advances in Neural Information Processing Systems (NeurIPS), pp. 5998-6008, 2017.</w:t>
      </w:r>
    </w:p>
    <w:p>
      <w:pPr>
        <w:spacing w:before="40" w:after="60" w:line="276" w:lineRule="auto"/>
      </w:pPr>
      <w:r>
        <w:rPr>
          <w:rFonts w:ascii="Calibri" w:hAnsi="Calibri"/>
          <w:color w:val="334155"/>
          <w:sz w:val="18"/>
        </w:rPr>
        <w:t>[8] K. Cho et al., 'Learning Phrase Representations using RNN Encoder-Decoder for Statistical Machine Translation,' Empirical Methods in Natural Language Processing (EMNLP), pp. 1724-1734, 2014.</w:t>
      </w:r>
    </w:p>
    <w:p>
      <w:pPr>
        <w:spacing w:before="40" w:after="60" w:line="276" w:lineRule="auto"/>
      </w:pPr>
      <w:r>
        <w:rPr>
          <w:rFonts w:ascii="Calibri" w:hAnsi="Calibri"/>
          <w:color w:val="334155"/>
          <w:sz w:val="18"/>
        </w:rPr>
        <w:t>[9] 3GPP, 'Study on Channel Model for Frequencies from 0.5 to 100 GHz,' 3rd Generation Partnership Project (3GPP), Technical Report (TR) 38.901, Rel. 16, 2020.</w:t>
      </w:r>
    </w:p>
    <w:p>
      <w:pPr>
        <w:spacing w:before="40" w:after="60" w:line="276" w:lineRule="auto"/>
      </w:pPr>
      <w:r>
        <w:rPr>
          <w:rFonts w:ascii="Calibri" w:hAnsi="Calibri"/>
          <w:color w:val="334155"/>
          <w:sz w:val="18"/>
        </w:rPr>
        <w:t>[10] IEEE Standard for Information Technology, 'Part 11: Wireless LAN Medium Access Control (MAC) and Physical Layer (PHY) Specifications - Enhanced Throughput for Operation in License-Exempt Bands Above 45 GHz,' IEEE Std 802.11ay-2021, 2021.</w:t>
      </w:r>
    </w:p>
    <w:p>
      <w:pPr>
        <w:keepNext/>
        <w:spacing w:before="360" w:after="120"/>
      </w:pPr>
      <w:r>
        <w:rPr>
          <w:rFonts w:ascii="Calibri" w:hAnsi="Calibri"/>
          <w:b/>
          <w:color w:val="0F2942"/>
          <w:sz w:val="30"/>
        </w:rPr>
        <w:t>APPENDIX: HYPERPARAMETERS &amp; SOFTWARE SPECIFICATIONS</w:t>
      </w:r>
    </w:p>
    <w:p>
      <w:pPr>
        <w:keepNext/>
        <w:spacing w:before="240" w:after="80"/>
      </w:pPr>
      <w:r>
        <w:rPr>
          <w:rFonts w:ascii="Calibri" w:hAnsi="Calibri"/>
          <w:b/>
          <w:color w:val="2563EB"/>
          <w:sz w:val="25"/>
        </w:rPr>
        <w:t>Appendix A: Complete Architectural &amp; Training Hyperparameters</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80" w:type="dxa"/>
              <w:bottom w:w="80" w:type="dxa"/>
              <w:left w:w="100" w:type="dxa"/>
              <w:right w:w="100" w:type="dxa"/>
            </w:tcMar>
          </w:tcPr>
          <w:p>
            <w:r>
              <w:rPr>
                <w:rFonts w:ascii="Calibri" w:hAnsi="Calibri"/>
                <w:b/>
                <w:color w:val="FFFFFF"/>
                <w:sz w:val="16"/>
              </w:rPr>
              <w:t>Hyperparameter Category</w:t>
            </w:r>
          </w:p>
        </w:tc>
        <w:tc>
          <w:tcPr>
            <w:tcW w:type="dxa" w:w="3120"/>
            <w:shd w:fill="0F2942"/>
            <w:tcMar>
              <w:top w:w="80" w:type="dxa"/>
              <w:bottom w:w="80" w:type="dxa"/>
              <w:left w:w="100" w:type="dxa"/>
              <w:right w:w="100" w:type="dxa"/>
            </w:tcMar>
          </w:tcPr>
          <w:p>
            <w:r>
              <w:rPr>
                <w:rFonts w:ascii="Calibri" w:hAnsi="Calibri"/>
                <w:b/>
                <w:color w:val="FFFFFF"/>
                <w:sz w:val="16"/>
              </w:rPr>
              <w:t>Configuration Parameter</w:t>
            </w:r>
          </w:p>
        </w:tc>
        <w:tc>
          <w:tcPr>
            <w:tcW w:type="dxa" w:w="3120"/>
            <w:shd w:fill="0F2942"/>
            <w:tcMar>
              <w:top w:w="80" w:type="dxa"/>
              <w:bottom w:w="80" w:type="dxa"/>
              <w:left w:w="100" w:type="dxa"/>
              <w:right w:w="100" w:type="dxa"/>
            </w:tcMar>
          </w:tcPr>
          <w:p>
            <w:r>
              <w:rPr>
                <w:rFonts w:ascii="Calibri" w:hAnsi="Calibri"/>
                <w:b/>
                <w:color w:val="FFFFFF"/>
                <w:sz w:val="16"/>
              </w:rPr>
              <w:t>Assigned Numerical Value / Specification</w:t>
            </w:r>
          </w:p>
        </w:tc>
      </w:tr>
      <w:tr>
        <w:tc>
          <w:tcPr>
            <w:tcW w:type="dxa" w:w="3120"/>
            <w:shd w:fill="F1F5F9"/>
            <w:tcMar>
              <w:top w:w="60" w:type="dxa"/>
              <w:bottom w:w="60" w:type="dxa"/>
              <w:left w:w="80" w:type="dxa"/>
              <w:right w:w="80" w:type="dxa"/>
            </w:tcMar>
          </w:tcPr>
          <w:p>
            <w:r>
              <w:rPr>
                <w:rFonts w:ascii="Calibri" w:hAnsi="Calibri"/>
                <w:color w:val="334155"/>
                <w:sz w:val="16"/>
              </w:rPr>
              <w:t>Input Dimensions</w:t>
            </w:r>
          </w:p>
        </w:tc>
        <w:tc>
          <w:tcPr>
            <w:tcW w:type="dxa" w:w="3120"/>
            <w:shd w:fill="F1F5F9"/>
            <w:tcMar>
              <w:top w:w="60" w:type="dxa"/>
              <w:bottom w:w="60" w:type="dxa"/>
              <w:left w:w="80" w:type="dxa"/>
              <w:right w:w="80" w:type="dxa"/>
            </w:tcMar>
          </w:tcPr>
          <w:p>
            <w:r>
              <w:rPr>
                <w:rFonts w:ascii="Calibri" w:hAnsi="Calibri"/>
                <w:b/>
                <w:color w:val="334155"/>
                <w:sz w:val="16"/>
              </w:rPr>
              <w:t>GPS Sequence Length (T_gps)</w:t>
            </w:r>
          </w:p>
        </w:tc>
        <w:tc>
          <w:tcPr>
            <w:tcW w:type="dxa" w:w="3120"/>
            <w:shd w:fill="F1F5F9"/>
            <w:tcMar>
              <w:top w:w="60" w:type="dxa"/>
              <w:bottom w:w="60" w:type="dxa"/>
              <w:left w:w="80" w:type="dxa"/>
              <w:right w:w="80" w:type="dxa"/>
            </w:tcMar>
          </w:tcPr>
          <w:p>
            <w:r>
              <w:rPr>
                <w:rFonts w:ascii="Calibri" w:hAnsi="Calibri"/>
                <w:color w:val="334155"/>
                <w:sz w:val="16"/>
              </w:rPr>
              <w:t>30 time steps (3.0 seconds at 10 Hz)</w:t>
            </w:r>
          </w:p>
        </w:tc>
      </w:tr>
      <w:tr>
        <w:tc>
          <w:tcPr>
            <w:tcW w:type="dxa" w:w="3120"/>
            <w:shd w:fill="FFFFFF"/>
            <w:tcMar>
              <w:top w:w="60" w:type="dxa"/>
              <w:bottom w:w="60" w:type="dxa"/>
              <w:left w:w="80" w:type="dxa"/>
              <w:right w:w="80" w:type="dxa"/>
            </w:tcMar>
          </w:tcPr>
          <w:p>
            <w:r>
              <w:rPr>
                <w:rFonts w:ascii="Calibri" w:hAnsi="Calibri"/>
                <w:color w:val="334155"/>
                <w:sz w:val="16"/>
              </w:rPr>
              <w:t>Input Dimensions</w:t>
            </w:r>
          </w:p>
        </w:tc>
        <w:tc>
          <w:tcPr>
            <w:tcW w:type="dxa" w:w="3120"/>
            <w:shd w:fill="FFFFFF"/>
            <w:tcMar>
              <w:top w:w="60" w:type="dxa"/>
              <w:bottom w:w="60" w:type="dxa"/>
              <w:left w:w="80" w:type="dxa"/>
              <w:right w:w="80" w:type="dxa"/>
            </w:tcMar>
          </w:tcPr>
          <w:p>
            <w:r>
              <w:rPr>
                <w:rFonts w:ascii="Calibri" w:hAnsi="Calibri"/>
                <w:b/>
                <w:color w:val="334155"/>
                <w:sz w:val="16"/>
              </w:rPr>
              <w:t>GPS Kinematic Features</w:t>
            </w:r>
          </w:p>
        </w:tc>
        <w:tc>
          <w:tcPr>
            <w:tcW w:type="dxa" w:w="3120"/>
            <w:shd w:fill="FFFFFF"/>
            <w:tcMar>
              <w:top w:w="60" w:type="dxa"/>
              <w:bottom w:w="60" w:type="dxa"/>
              <w:left w:w="80" w:type="dxa"/>
              <w:right w:w="80" w:type="dxa"/>
            </w:tcMar>
          </w:tcPr>
          <w:p>
            <w:r>
              <w:rPr>
                <w:rFonts w:ascii="Calibri" w:hAnsi="Calibri"/>
                <w:color w:val="334155"/>
                <w:sz w:val="16"/>
              </w:rPr>
              <w:t>9 continuous normalized features</w:t>
            </w:r>
          </w:p>
        </w:tc>
      </w:tr>
      <w:tr>
        <w:tc>
          <w:tcPr>
            <w:tcW w:type="dxa" w:w="3120"/>
            <w:shd w:fill="F1F5F9"/>
            <w:tcMar>
              <w:top w:w="60" w:type="dxa"/>
              <w:bottom w:w="60" w:type="dxa"/>
              <w:left w:w="80" w:type="dxa"/>
              <w:right w:w="80" w:type="dxa"/>
            </w:tcMar>
          </w:tcPr>
          <w:p>
            <w:r>
              <w:rPr>
                <w:rFonts w:ascii="Calibri" w:hAnsi="Calibri"/>
                <w:color w:val="334155"/>
                <w:sz w:val="16"/>
              </w:rPr>
              <w:t>Input Dimensions</w:t>
            </w:r>
          </w:p>
        </w:tc>
        <w:tc>
          <w:tcPr>
            <w:tcW w:type="dxa" w:w="3120"/>
            <w:shd w:fill="F1F5F9"/>
            <w:tcMar>
              <w:top w:w="60" w:type="dxa"/>
              <w:bottom w:w="60" w:type="dxa"/>
              <w:left w:w="80" w:type="dxa"/>
              <w:right w:w="80" w:type="dxa"/>
            </w:tcMar>
          </w:tcPr>
          <w:p>
            <w:r>
              <w:rPr>
                <w:rFonts w:ascii="Calibri" w:hAnsi="Calibri"/>
                <w:b/>
                <w:color w:val="334155"/>
                <w:sz w:val="16"/>
              </w:rPr>
              <w:t>RGB Image Sequence (T_img)</w:t>
            </w:r>
          </w:p>
        </w:tc>
        <w:tc>
          <w:tcPr>
            <w:tcW w:type="dxa" w:w="3120"/>
            <w:shd w:fill="F1F5F9"/>
            <w:tcMar>
              <w:top w:w="60" w:type="dxa"/>
              <w:bottom w:w="60" w:type="dxa"/>
              <w:left w:w="80" w:type="dxa"/>
              <w:right w:w="80" w:type="dxa"/>
            </w:tcMar>
          </w:tcPr>
          <w:p>
            <w:r>
              <w:rPr>
                <w:rFonts w:ascii="Calibri" w:hAnsi="Calibri"/>
                <w:color w:val="334155"/>
                <w:sz w:val="16"/>
              </w:rPr>
              <w:t>5 frames (0.5 seconds at 10 Hz)</w:t>
            </w:r>
          </w:p>
        </w:tc>
      </w:tr>
      <w:tr>
        <w:tc>
          <w:tcPr>
            <w:tcW w:type="dxa" w:w="3120"/>
            <w:shd w:fill="FFFFFF"/>
            <w:tcMar>
              <w:top w:w="60" w:type="dxa"/>
              <w:bottom w:w="60" w:type="dxa"/>
              <w:left w:w="80" w:type="dxa"/>
              <w:right w:w="80" w:type="dxa"/>
            </w:tcMar>
          </w:tcPr>
          <w:p>
            <w:r>
              <w:rPr>
                <w:rFonts w:ascii="Calibri" w:hAnsi="Calibri"/>
                <w:color w:val="334155"/>
                <w:sz w:val="16"/>
              </w:rPr>
              <w:t>Input Dimensions</w:t>
            </w:r>
          </w:p>
        </w:tc>
        <w:tc>
          <w:tcPr>
            <w:tcW w:type="dxa" w:w="3120"/>
            <w:shd w:fill="FFFFFF"/>
            <w:tcMar>
              <w:top w:w="60" w:type="dxa"/>
              <w:bottom w:w="60" w:type="dxa"/>
              <w:left w:w="80" w:type="dxa"/>
              <w:right w:w="80" w:type="dxa"/>
            </w:tcMar>
          </w:tcPr>
          <w:p>
            <w:r>
              <w:rPr>
                <w:rFonts w:ascii="Calibri" w:hAnsi="Calibri"/>
                <w:b/>
                <w:color w:val="334155"/>
                <w:sz w:val="16"/>
              </w:rPr>
              <w:t>RGB Spatial Resolution</w:t>
            </w:r>
          </w:p>
        </w:tc>
        <w:tc>
          <w:tcPr>
            <w:tcW w:type="dxa" w:w="3120"/>
            <w:shd w:fill="FFFFFF"/>
            <w:tcMar>
              <w:top w:w="60" w:type="dxa"/>
              <w:bottom w:w="60" w:type="dxa"/>
              <w:left w:w="80" w:type="dxa"/>
              <w:right w:w="80" w:type="dxa"/>
            </w:tcMar>
          </w:tcPr>
          <w:p>
            <w:r>
              <w:rPr>
                <w:rFonts w:ascii="Calibri" w:hAnsi="Calibri"/>
                <w:color w:val="334155"/>
                <w:sz w:val="16"/>
              </w:rPr>
              <w:t>96 x 96 x 3 pixels (In-Memory RAM Caching)</w:t>
            </w:r>
          </w:p>
        </w:tc>
      </w:tr>
      <w:tr>
        <w:tc>
          <w:tcPr>
            <w:tcW w:type="dxa" w:w="3120"/>
            <w:shd w:fill="F1F5F9"/>
            <w:tcMar>
              <w:top w:w="60" w:type="dxa"/>
              <w:bottom w:w="60" w:type="dxa"/>
              <w:left w:w="80" w:type="dxa"/>
              <w:right w:w="80" w:type="dxa"/>
            </w:tcMar>
          </w:tcPr>
          <w:p>
            <w:r>
              <w:rPr>
                <w:rFonts w:ascii="Calibri" w:hAnsi="Calibri"/>
                <w:color w:val="334155"/>
                <w:sz w:val="16"/>
              </w:rPr>
              <w:t>Architecture</w:t>
            </w:r>
          </w:p>
        </w:tc>
        <w:tc>
          <w:tcPr>
            <w:tcW w:type="dxa" w:w="3120"/>
            <w:shd w:fill="F1F5F9"/>
            <w:tcMar>
              <w:top w:w="60" w:type="dxa"/>
              <w:bottom w:w="60" w:type="dxa"/>
              <w:left w:w="80" w:type="dxa"/>
              <w:right w:w="80" w:type="dxa"/>
            </w:tcMar>
          </w:tcPr>
          <w:p>
            <w:r>
              <w:rPr>
                <w:rFonts w:ascii="Calibri" w:hAnsi="Calibri"/>
                <w:b/>
                <w:color w:val="334155"/>
                <w:sz w:val="16"/>
              </w:rPr>
              <w:t>Model Backbone</w:t>
            </w:r>
          </w:p>
        </w:tc>
        <w:tc>
          <w:tcPr>
            <w:tcW w:type="dxa" w:w="3120"/>
            <w:shd w:fill="F1F5F9"/>
            <w:tcMar>
              <w:top w:w="60" w:type="dxa"/>
              <w:bottom w:w="60" w:type="dxa"/>
              <w:left w:w="80" w:type="dxa"/>
              <w:right w:w="80" w:type="dxa"/>
            </w:tcMar>
          </w:tcPr>
          <w:p>
            <w:r>
              <w:rPr>
                <w:rFonts w:ascii="Calibri" w:hAnsi="Calibri"/>
                <w:color w:val="334155"/>
                <w:sz w:val="16"/>
              </w:rPr>
              <w:t>P3_MultiTaskProfile (~15.15M parameters)</w:t>
            </w:r>
          </w:p>
        </w:tc>
      </w:tr>
      <w:tr>
        <w:tc>
          <w:tcPr>
            <w:tcW w:type="dxa" w:w="3120"/>
            <w:shd w:fill="FFFFFF"/>
            <w:tcMar>
              <w:top w:w="60" w:type="dxa"/>
              <w:bottom w:w="60" w:type="dxa"/>
              <w:left w:w="80" w:type="dxa"/>
              <w:right w:w="80" w:type="dxa"/>
            </w:tcMar>
          </w:tcPr>
          <w:p>
            <w:r>
              <w:rPr>
                <w:rFonts w:ascii="Calibri" w:hAnsi="Calibri"/>
                <w:color w:val="334155"/>
                <w:sz w:val="16"/>
              </w:rPr>
              <w:t>Architecture</w:t>
            </w:r>
          </w:p>
        </w:tc>
        <w:tc>
          <w:tcPr>
            <w:tcW w:type="dxa" w:w="3120"/>
            <w:shd w:fill="FFFFFF"/>
            <w:tcMar>
              <w:top w:w="60" w:type="dxa"/>
              <w:bottom w:w="60" w:type="dxa"/>
              <w:left w:w="80" w:type="dxa"/>
              <w:right w:w="80" w:type="dxa"/>
            </w:tcMar>
          </w:tcPr>
          <w:p>
            <w:r>
              <w:rPr>
                <w:rFonts w:ascii="Calibri" w:hAnsi="Calibri"/>
                <w:b/>
                <w:color w:val="334155"/>
                <w:sz w:val="16"/>
              </w:rPr>
              <w:t>Kinematics Encoder</w:t>
            </w:r>
          </w:p>
        </w:tc>
        <w:tc>
          <w:tcPr>
            <w:tcW w:type="dxa" w:w="3120"/>
            <w:shd w:fill="FFFFFF"/>
            <w:tcMar>
              <w:top w:w="60" w:type="dxa"/>
              <w:bottom w:w="60" w:type="dxa"/>
              <w:left w:w="80" w:type="dxa"/>
              <w:right w:w="80" w:type="dxa"/>
            </w:tcMar>
          </w:tcPr>
          <w:p>
            <w:r>
              <w:rPr>
                <w:rFonts w:ascii="Calibri" w:hAnsi="Calibri"/>
                <w:color w:val="334155"/>
                <w:sz w:val="16"/>
              </w:rPr>
              <w:t>2-layer Bidirectional GRU (hidden_dim = 192)</w:t>
            </w:r>
          </w:p>
        </w:tc>
      </w:tr>
      <w:tr>
        <w:tc>
          <w:tcPr>
            <w:tcW w:type="dxa" w:w="3120"/>
            <w:shd w:fill="F1F5F9"/>
            <w:tcMar>
              <w:top w:w="60" w:type="dxa"/>
              <w:bottom w:w="60" w:type="dxa"/>
              <w:left w:w="80" w:type="dxa"/>
              <w:right w:w="80" w:type="dxa"/>
            </w:tcMar>
          </w:tcPr>
          <w:p>
            <w:r>
              <w:rPr>
                <w:rFonts w:ascii="Calibri" w:hAnsi="Calibri"/>
                <w:color w:val="334155"/>
                <w:sz w:val="16"/>
              </w:rPr>
              <w:t>Architecture</w:t>
            </w:r>
          </w:p>
        </w:tc>
        <w:tc>
          <w:tcPr>
            <w:tcW w:type="dxa" w:w="3120"/>
            <w:shd w:fill="F1F5F9"/>
            <w:tcMar>
              <w:top w:w="60" w:type="dxa"/>
              <w:bottom w:w="60" w:type="dxa"/>
              <w:left w:w="80" w:type="dxa"/>
              <w:right w:w="80" w:type="dxa"/>
            </w:tcMar>
          </w:tcPr>
          <w:p>
            <w:r>
              <w:rPr>
                <w:rFonts w:ascii="Calibri" w:hAnsi="Calibri"/>
                <w:b/>
                <w:color w:val="334155"/>
                <w:sz w:val="16"/>
              </w:rPr>
              <w:t>Vision Encoder</w:t>
            </w:r>
          </w:p>
        </w:tc>
        <w:tc>
          <w:tcPr>
            <w:tcW w:type="dxa" w:w="3120"/>
            <w:shd w:fill="F1F5F9"/>
            <w:tcMar>
              <w:top w:w="60" w:type="dxa"/>
              <w:bottom w:w="60" w:type="dxa"/>
              <w:left w:w="80" w:type="dxa"/>
              <w:right w:w="80" w:type="dxa"/>
            </w:tcMar>
          </w:tcPr>
          <w:p>
            <w:r>
              <w:rPr>
                <w:rFonts w:ascii="Calibri" w:hAnsi="Calibri"/>
                <w:color w:val="334155"/>
                <w:sz w:val="16"/>
              </w:rPr>
              <w:t>ResNet-18 (Stem &amp; L1-2 frozen; L3-4 fine-tuned)</w:t>
            </w:r>
          </w:p>
        </w:tc>
      </w:tr>
      <w:tr>
        <w:tc>
          <w:tcPr>
            <w:tcW w:type="dxa" w:w="3120"/>
            <w:shd w:fill="FFFFFF"/>
            <w:tcMar>
              <w:top w:w="60" w:type="dxa"/>
              <w:bottom w:w="60" w:type="dxa"/>
              <w:left w:w="80" w:type="dxa"/>
              <w:right w:w="80" w:type="dxa"/>
            </w:tcMar>
          </w:tcPr>
          <w:p>
            <w:r>
              <w:rPr>
                <w:rFonts w:ascii="Calibri" w:hAnsi="Calibri"/>
                <w:color w:val="334155"/>
                <w:sz w:val="16"/>
              </w:rPr>
              <w:t>Architecture</w:t>
            </w:r>
          </w:p>
        </w:tc>
        <w:tc>
          <w:tcPr>
            <w:tcW w:type="dxa" w:w="3120"/>
            <w:shd w:fill="FFFFFF"/>
            <w:tcMar>
              <w:top w:w="60" w:type="dxa"/>
              <w:bottom w:w="60" w:type="dxa"/>
              <w:left w:w="80" w:type="dxa"/>
              <w:right w:w="80" w:type="dxa"/>
            </w:tcMar>
          </w:tcPr>
          <w:p>
            <w:r>
              <w:rPr>
                <w:rFonts w:ascii="Calibri" w:hAnsi="Calibri"/>
                <w:b/>
                <w:color w:val="334155"/>
                <w:sz w:val="16"/>
              </w:rPr>
              <w:t>Cross-Modal Fusion</w:t>
            </w:r>
          </w:p>
        </w:tc>
        <w:tc>
          <w:tcPr>
            <w:tcW w:type="dxa" w:w="3120"/>
            <w:shd w:fill="FFFFFF"/>
            <w:tcMar>
              <w:top w:w="60" w:type="dxa"/>
              <w:bottom w:w="60" w:type="dxa"/>
              <w:left w:w="80" w:type="dxa"/>
              <w:right w:w="80" w:type="dxa"/>
            </w:tcMar>
          </w:tcPr>
          <w:p>
            <w:r>
              <w:rPr>
                <w:rFonts w:ascii="Calibri" w:hAnsi="Calibri"/>
                <w:color w:val="334155"/>
                <w:sz w:val="16"/>
              </w:rPr>
              <w:t>2-layer Pre-LN Transformer (4 heads, d_model = 192)</w:t>
            </w:r>
          </w:p>
        </w:tc>
      </w:tr>
      <w:tr>
        <w:tc>
          <w:tcPr>
            <w:tcW w:type="dxa" w:w="3120"/>
            <w:shd w:fill="F1F5F9"/>
            <w:tcMar>
              <w:top w:w="60" w:type="dxa"/>
              <w:bottom w:w="60" w:type="dxa"/>
              <w:left w:w="80" w:type="dxa"/>
              <w:right w:w="80" w:type="dxa"/>
            </w:tcMar>
          </w:tcPr>
          <w:p>
            <w:r>
              <w:rPr>
                <w:rFonts w:ascii="Calibri" w:hAnsi="Calibri"/>
                <w:color w:val="334155"/>
                <w:sz w:val="16"/>
              </w:rPr>
              <w:t>Architecture</w:t>
            </w:r>
          </w:p>
        </w:tc>
        <w:tc>
          <w:tcPr>
            <w:tcW w:type="dxa" w:w="3120"/>
            <w:shd w:fill="F1F5F9"/>
            <w:tcMar>
              <w:top w:w="60" w:type="dxa"/>
              <w:bottom w:w="60" w:type="dxa"/>
              <w:left w:w="80" w:type="dxa"/>
              <w:right w:w="80" w:type="dxa"/>
            </w:tcMar>
          </w:tcPr>
          <w:p>
            <w:r>
              <w:rPr>
                <w:rFonts w:ascii="Calibri" w:hAnsi="Calibri"/>
                <w:b/>
                <w:color w:val="334155"/>
                <w:sz w:val="16"/>
              </w:rPr>
              <w:t>Classification Head</w:t>
            </w:r>
          </w:p>
        </w:tc>
        <w:tc>
          <w:tcPr>
            <w:tcW w:type="dxa" w:w="3120"/>
            <w:shd w:fill="F1F5F9"/>
            <w:tcMar>
              <w:top w:w="60" w:type="dxa"/>
              <w:bottom w:w="60" w:type="dxa"/>
              <w:left w:w="80" w:type="dxa"/>
              <w:right w:w="80" w:type="dxa"/>
            </w:tcMar>
          </w:tcPr>
          <w:p>
            <w:r>
              <w:rPr>
                <w:rFonts w:ascii="Calibri" w:hAnsi="Calibri"/>
                <w:color w:val="334155"/>
                <w:sz w:val="16"/>
              </w:rPr>
              <w:t>2-layer MLP + GELU + LayerNorm -&gt; 256 logits</w:t>
            </w:r>
          </w:p>
        </w:tc>
      </w:tr>
      <w:tr>
        <w:tc>
          <w:tcPr>
            <w:tcW w:type="dxa" w:w="3120"/>
            <w:shd w:fill="FFFFFF"/>
            <w:tcMar>
              <w:top w:w="60" w:type="dxa"/>
              <w:bottom w:w="60" w:type="dxa"/>
              <w:left w:w="80" w:type="dxa"/>
              <w:right w:w="80" w:type="dxa"/>
            </w:tcMar>
          </w:tcPr>
          <w:p>
            <w:r>
              <w:rPr>
                <w:rFonts w:ascii="Calibri" w:hAnsi="Calibri"/>
                <w:color w:val="334155"/>
                <w:sz w:val="16"/>
              </w:rPr>
              <w:t>Architecture</w:t>
            </w:r>
          </w:p>
        </w:tc>
        <w:tc>
          <w:tcPr>
            <w:tcW w:type="dxa" w:w="3120"/>
            <w:shd w:fill="FFFFFF"/>
            <w:tcMar>
              <w:top w:w="60" w:type="dxa"/>
              <w:bottom w:w="60" w:type="dxa"/>
              <w:left w:w="80" w:type="dxa"/>
              <w:right w:w="80" w:type="dxa"/>
            </w:tcMar>
          </w:tcPr>
          <w:p>
            <w:r>
              <w:rPr>
                <w:rFonts w:ascii="Calibri" w:hAnsi="Calibri"/>
                <w:b/>
                <w:color w:val="334155"/>
                <w:sz w:val="16"/>
              </w:rPr>
              <w:t>Regression Head</w:t>
            </w:r>
          </w:p>
        </w:tc>
        <w:tc>
          <w:tcPr>
            <w:tcW w:type="dxa" w:w="3120"/>
            <w:shd w:fill="FFFFFF"/>
            <w:tcMar>
              <w:top w:w="60" w:type="dxa"/>
              <w:bottom w:w="60" w:type="dxa"/>
              <w:left w:w="80" w:type="dxa"/>
              <w:right w:w="80" w:type="dxa"/>
            </w:tcMar>
          </w:tcPr>
          <w:p>
            <w:r>
              <w:rPr>
                <w:rFonts w:ascii="Calibri" w:hAnsi="Calibri"/>
                <w:color w:val="334155"/>
                <w:sz w:val="16"/>
              </w:rPr>
              <w:t>2-layer MLP + GELU + LayerNorm -&gt; 256 dBm values</w:t>
            </w:r>
          </w:p>
        </w:tc>
      </w:tr>
      <w:tr>
        <w:tc>
          <w:tcPr>
            <w:tcW w:type="dxa" w:w="3120"/>
            <w:shd w:fill="F1F5F9"/>
            <w:tcMar>
              <w:top w:w="60" w:type="dxa"/>
              <w:bottom w:w="60" w:type="dxa"/>
              <w:left w:w="80" w:type="dxa"/>
              <w:right w:w="80" w:type="dxa"/>
            </w:tcMar>
          </w:tcPr>
          <w:p>
            <w:r>
              <w:rPr>
                <w:rFonts w:ascii="Calibri" w:hAnsi="Calibri"/>
                <w:color w:val="334155"/>
                <w:sz w:val="16"/>
              </w:rPr>
              <w:t>Optimization</w:t>
            </w:r>
          </w:p>
        </w:tc>
        <w:tc>
          <w:tcPr>
            <w:tcW w:type="dxa" w:w="3120"/>
            <w:shd w:fill="F1F5F9"/>
            <w:tcMar>
              <w:top w:w="60" w:type="dxa"/>
              <w:bottom w:w="60" w:type="dxa"/>
              <w:left w:w="80" w:type="dxa"/>
              <w:right w:w="80" w:type="dxa"/>
            </w:tcMar>
          </w:tcPr>
          <w:p>
            <w:r>
              <w:rPr>
                <w:rFonts w:ascii="Calibri" w:hAnsi="Calibri"/>
                <w:b/>
                <w:color w:val="334155"/>
                <w:sz w:val="16"/>
              </w:rPr>
              <w:t>Optimizer &amp; Weight Decay</w:t>
            </w:r>
          </w:p>
        </w:tc>
        <w:tc>
          <w:tcPr>
            <w:tcW w:type="dxa" w:w="3120"/>
            <w:shd w:fill="F1F5F9"/>
            <w:tcMar>
              <w:top w:w="60" w:type="dxa"/>
              <w:bottom w:w="60" w:type="dxa"/>
              <w:left w:w="80" w:type="dxa"/>
              <w:right w:w="80" w:type="dxa"/>
            </w:tcMar>
          </w:tcPr>
          <w:p>
            <w:r>
              <w:rPr>
                <w:rFonts w:ascii="Calibri" w:hAnsi="Calibri"/>
                <w:color w:val="334155"/>
                <w:sz w:val="16"/>
              </w:rPr>
              <w:t>AdamW (lr = 3e-4, weight_decay = 1e-4)</w:t>
            </w:r>
          </w:p>
        </w:tc>
      </w:tr>
      <w:tr>
        <w:tc>
          <w:tcPr>
            <w:tcW w:type="dxa" w:w="3120"/>
            <w:shd w:fill="FFFFFF"/>
            <w:tcMar>
              <w:top w:w="60" w:type="dxa"/>
              <w:bottom w:w="60" w:type="dxa"/>
              <w:left w:w="80" w:type="dxa"/>
              <w:right w:w="80" w:type="dxa"/>
            </w:tcMar>
          </w:tcPr>
          <w:p>
            <w:r>
              <w:rPr>
                <w:rFonts w:ascii="Calibri" w:hAnsi="Calibri"/>
                <w:color w:val="334155"/>
                <w:sz w:val="16"/>
              </w:rPr>
              <w:t>Optimization</w:t>
            </w:r>
          </w:p>
        </w:tc>
        <w:tc>
          <w:tcPr>
            <w:tcW w:type="dxa" w:w="3120"/>
            <w:shd w:fill="FFFFFF"/>
            <w:tcMar>
              <w:top w:w="60" w:type="dxa"/>
              <w:bottom w:w="60" w:type="dxa"/>
              <w:left w:w="80" w:type="dxa"/>
              <w:right w:w="80" w:type="dxa"/>
            </w:tcMar>
          </w:tcPr>
          <w:p>
            <w:r>
              <w:rPr>
                <w:rFonts w:ascii="Calibri" w:hAnsi="Calibri"/>
                <w:b/>
                <w:color w:val="334155"/>
                <w:sz w:val="16"/>
              </w:rPr>
              <w:t>LR Scheduling</w:t>
            </w:r>
          </w:p>
        </w:tc>
        <w:tc>
          <w:tcPr>
            <w:tcW w:type="dxa" w:w="3120"/>
            <w:shd w:fill="FFFFFF"/>
            <w:tcMar>
              <w:top w:w="60" w:type="dxa"/>
              <w:bottom w:w="60" w:type="dxa"/>
              <w:left w:w="80" w:type="dxa"/>
              <w:right w:w="80" w:type="dxa"/>
            </w:tcMar>
          </w:tcPr>
          <w:p>
            <w:r>
              <w:rPr>
                <w:rFonts w:ascii="Calibri" w:hAnsi="Calibri"/>
                <w:color w:val="334155"/>
                <w:sz w:val="16"/>
              </w:rPr>
              <w:t>OneCycleLR (cosine annealing, 30% warmup)</w:t>
            </w:r>
          </w:p>
        </w:tc>
      </w:tr>
      <w:tr>
        <w:tc>
          <w:tcPr>
            <w:tcW w:type="dxa" w:w="3120"/>
            <w:shd w:fill="F1F5F9"/>
            <w:tcMar>
              <w:top w:w="60" w:type="dxa"/>
              <w:bottom w:w="60" w:type="dxa"/>
              <w:left w:w="80" w:type="dxa"/>
              <w:right w:w="80" w:type="dxa"/>
            </w:tcMar>
          </w:tcPr>
          <w:p>
            <w:r>
              <w:rPr>
                <w:rFonts w:ascii="Calibri" w:hAnsi="Calibri"/>
                <w:color w:val="334155"/>
                <w:sz w:val="16"/>
              </w:rPr>
              <w:t>Optimization</w:t>
            </w:r>
          </w:p>
        </w:tc>
        <w:tc>
          <w:tcPr>
            <w:tcW w:type="dxa" w:w="3120"/>
            <w:shd w:fill="F1F5F9"/>
            <w:tcMar>
              <w:top w:w="60" w:type="dxa"/>
              <w:bottom w:w="60" w:type="dxa"/>
              <w:left w:w="80" w:type="dxa"/>
              <w:right w:w="80" w:type="dxa"/>
            </w:tcMar>
          </w:tcPr>
          <w:p>
            <w:r>
              <w:rPr>
                <w:rFonts w:ascii="Calibri" w:hAnsi="Calibri"/>
                <w:b/>
                <w:color w:val="334155"/>
                <w:sz w:val="16"/>
              </w:rPr>
              <w:t>Batch Size &amp; Precision</w:t>
            </w:r>
          </w:p>
        </w:tc>
        <w:tc>
          <w:tcPr>
            <w:tcW w:type="dxa" w:w="3120"/>
            <w:shd w:fill="F1F5F9"/>
            <w:tcMar>
              <w:top w:w="60" w:type="dxa"/>
              <w:bottom w:w="60" w:type="dxa"/>
              <w:left w:w="80" w:type="dxa"/>
              <w:right w:w="80" w:type="dxa"/>
            </w:tcMar>
          </w:tcPr>
          <w:p>
            <w:r>
              <w:rPr>
                <w:rFonts w:ascii="Calibri" w:hAnsi="Calibri"/>
                <w:color w:val="334155"/>
                <w:sz w:val="16"/>
              </w:rPr>
              <w:t>Batch Size = 64, Mixed Precision AMP</w:t>
            </w:r>
          </w:p>
        </w:tc>
      </w:tr>
      <w:tr>
        <w:tc>
          <w:tcPr>
            <w:tcW w:type="dxa" w:w="3120"/>
            <w:shd w:fill="FFFFFF"/>
            <w:tcMar>
              <w:top w:w="60" w:type="dxa"/>
              <w:bottom w:w="60" w:type="dxa"/>
              <w:left w:w="80" w:type="dxa"/>
              <w:right w:w="80" w:type="dxa"/>
            </w:tcMar>
          </w:tcPr>
          <w:p>
            <w:r>
              <w:rPr>
                <w:rFonts w:ascii="Calibri" w:hAnsi="Calibri"/>
                <w:color w:val="334155"/>
                <w:sz w:val="16"/>
              </w:rPr>
              <w:t>Conformal Risk Control</w:t>
            </w:r>
          </w:p>
        </w:tc>
        <w:tc>
          <w:tcPr>
            <w:tcW w:type="dxa" w:w="3120"/>
            <w:shd w:fill="FFFFFF"/>
            <w:tcMar>
              <w:top w:w="60" w:type="dxa"/>
              <w:bottom w:w="60" w:type="dxa"/>
              <w:left w:w="80" w:type="dxa"/>
              <w:right w:w="80" w:type="dxa"/>
            </w:tcMar>
          </w:tcPr>
          <w:p>
            <w:r>
              <w:rPr>
                <w:rFonts w:ascii="Calibri" w:hAnsi="Calibri"/>
                <w:b/>
                <w:color w:val="334155"/>
                <w:sz w:val="16"/>
              </w:rPr>
              <w:t>Target Risk Alpha (alpha)</w:t>
            </w:r>
          </w:p>
        </w:tc>
        <w:tc>
          <w:tcPr>
            <w:tcW w:type="dxa" w:w="3120"/>
            <w:shd w:fill="FFFFFF"/>
            <w:tcMar>
              <w:top w:w="60" w:type="dxa"/>
              <w:bottom w:w="60" w:type="dxa"/>
              <w:left w:w="80" w:type="dxa"/>
              <w:right w:w="80" w:type="dxa"/>
            </w:tcMar>
          </w:tcPr>
          <w:p>
            <w:r>
              <w:rPr>
                <w:rFonts w:ascii="Calibri" w:hAnsi="Calibri"/>
                <w:color w:val="334155"/>
                <w:sz w:val="16"/>
              </w:rPr>
              <w:t>alpha = 0.10 (90% target coverage guarantee)</w:t>
            </w:r>
          </w:p>
        </w:tc>
      </w:tr>
      <w:tr>
        <w:tc>
          <w:tcPr>
            <w:tcW w:type="dxa" w:w="3120"/>
            <w:shd w:fill="F1F5F9"/>
            <w:tcMar>
              <w:top w:w="60" w:type="dxa"/>
              <w:bottom w:w="60" w:type="dxa"/>
              <w:left w:w="80" w:type="dxa"/>
              <w:right w:w="80" w:type="dxa"/>
            </w:tcMar>
          </w:tcPr>
          <w:p>
            <w:r>
              <w:rPr>
                <w:rFonts w:ascii="Calibri" w:hAnsi="Calibri"/>
                <w:color w:val="334155"/>
                <w:sz w:val="16"/>
              </w:rPr>
              <w:t>Conformal Risk Control</w:t>
            </w:r>
          </w:p>
        </w:tc>
        <w:tc>
          <w:tcPr>
            <w:tcW w:type="dxa" w:w="3120"/>
            <w:shd w:fill="F1F5F9"/>
            <w:tcMar>
              <w:top w:w="60" w:type="dxa"/>
              <w:bottom w:w="60" w:type="dxa"/>
              <w:left w:w="80" w:type="dxa"/>
              <w:right w:w="80" w:type="dxa"/>
            </w:tcMar>
          </w:tcPr>
          <w:p>
            <w:r>
              <w:rPr>
                <w:rFonts w:ascii="Calibri" w:hAnsi="Calibri"/>
                <w:b/>
                <w:color w:val="334155"/>
                <w:sz w:val="16"/>
              </w:rPr>
              <w:t>Power Tolerance Gap (Delta_dB)</w:t>
            </w:r>
          </w:p>
        </w:tc>
        <w:tc>
          <w:tcPr>
            <w:tcW w:type="dxa" w:w="3120"/>
            <w:shd w:fill="F1F5F9"/>
            <w:tcMar>
              <w:top w:w="60" w:type="dxa"/>
              <w:bottom w:w="60" w:type="dxa"/>
              <w:left w:w="80" w:type="dxa"/>
              <w:right w:w="80" w:type="dxa"/>
            </w:tcMar>
          </w:tcPr>
          <w:p>
            <w:r>
              <w:rPr>
                <w:rFonts w:ascii="Calibri" w:hAnsi="Calibri"/>
                <w:color w:val="334155"/>
                <w:sz w:val="16"/>
              </w:rPr>
              <w:t>Delta_dB = 3.0 dB threshold</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Department of Computer Science &amp; Engineering  |  Course 424 (Summer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DeepSense 6G Multimodal V2V Beam Tracking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