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44"/>
        </w:rPr>
        <w:t>DeepSense 6G V2V Beam Tracking: An AI Framework for Ultra-Low Latency Communication Handshakes</w:t>
      </w:r>
    </w:p>
    <w:p>
      <w:pPr>
        <w:spacing w:before="40" w:after="280"/>
      </w:pPr>
      <w:r>
        <w:rPr>
          <w:rFonts w:ascii="Calibri" w:hAnsi="Calibri"/>
          <w:color w:val="64748B"/>
          <w:sz w:val="24"/>
        </w:rPr>
        <w:t>Bridging Spatial Kinematics, Computer Vision, and Adaptive Conformal Risk Control for Millisecond 60 GHz Directional Alignment in Connected Autonomous Vehicles</w:t>
      </w:r>
    </w:p>
    <w:tbl>
      <w:tblPr>
        <w:tblW w:type="auto" w:w="0"/>
        <w:jc w:val="center"/>
        <w:tblLook w:firstColumn="1" w:firstRow="1" w:lastColumn="0" w:lastRow="0" w:noHBand="0" w:noVBand="1" w:val="04A0"/>
      </w:tblPr>
      <w:tblGrid>
        <w:gridCol w:w="3120"/>
        <w:gridCol w:w="3120"/>
        <w:gridCol w:w="3120"/>
      </w:tblGrid>
      <w:tr>
        <w:tc>
          <w:tcPr>
            <w:tcW w:type="dxa" w:w="3096"/>
            <w:shd w:fill="F8FAFC"/>
            <w:tcMar>
              <w:top w:w="80" w:type="dxa"/>
              <w:bottom w:w="80" w:type="dxa"/>
              <w:left w:w="100" w:type="dxa"/>
              <w:right w:w="100" w:type="dxa"/>
            </w:tcMar>
          </w:tcPr>
          <w:p>
            <w:pPr>
              <w:spacing w:before="0" w:after="0"/>
            </w:pPr>
            <w:r>
              <w:rPr>
                <w:rFonts w:ascii="Calibri" w:hAnsi="Calibri"/>
                <w:b/>
                <w:color w:val="64748B"/>
                <w:sz w:val="15"/>
              </w:rPr>
              <w:t>AUTHORSHIP &amp; LAB</w:t>
              <w:br/>
            </w:r>
            <w:r>
              <w:rPr>
                <w:rFonts w:ascii="Calibri" w:hAnsi="Calibri"/>
                <w:b/>
                <w:color w:val="1E3A8A"/>
                <w:sz w:val="17"/>
              </w:rPr>
              <w:t>Syed Kafi / Autonomous Systems Lab</w:t>
            </w:r>
          </w:p>
        </w:tc>
        <w:tc>
          <w:tcPr>
            <w:tcW w:type="dxa" w:w="3096"/>
            <w:shd w:fill="F8FAFC"/>
            <w:tcMar>
              <w:top w:w="80" w:type="dxa"/>
              <w:bottom w:w="80" w:type="dxa"/>
              <w:left w:w="100" w:type="dxa"/>
              <w:right w:w="100" w:type="dxa"/>
            </w:tcMar>
          </w:tcPr>
          <w:p>
            <w:pPr>
              <w:spacing w:before="0" w:after="0"/>
            </w:pPr>
            <w:r>
              <w:rPr>
                <w:rFonts w:ascii="Calibri" w:hAnsi="Calibri"/>
                <w:b/>
                <w:color w:val="64748B"/>
                <w:sz w:val="15"/>
              </w:rPr>
              <w:t>TARGET FREQUENCY</w:t>
              <w:br/>
            </w:r>
            <w:r>
              <w:rPr>
                <w:rFonts w:ascii="Calibri" w:hAnsi="Calibri"/>
                <w:b/>
                <w:color w:val="1E3A8A"/>
                <w:sz w:val="17"/>
              </w:rPr>
              <w:t>60 GHz mmWave (6G V2V)</w:t>
            </w:r>
          </w:p>
        </w:tc>
        <w:tc>
          <w:tcPr>
            <w:tcW w:type="dxa" w:w="3096"/>
            <w:shd w:fill="F8FAFC"/>
            <w:tcMar>
              <w:top w:w="80" w:type="dxa"/>
              <w:bottom w:w="80" w:type="dxa"/>
              <w:left w:w="100" w:type="dxa"/>
              <w:right w:w="100" w:type="dxa"/>
            </w:tcMar>
          </w:tcPr>
          <w:p>
            <w:pPr>
              <w:spacing w:before="0" w:after="0"/>
            </w:pPr>
            <w:r>
              <w:rPr>
                <w:rFonts w:ascii="Calibri" w:hAnsi="Calibri"/>
                <w:b/>
                <w:color w:val="64748B"/>
                <w:sz w:val="15"/>
              </w:rPr>
              <w:t>DOCUMENT VERSION</w:t>
              <w:br/>
            </w:r>
            <w:r>
              <w:rPr>
                <w:rFonts w:ascii="Calibri" w:hAnsi="Calibri"/>
                <w:b/>
                <w:color w:val="1E3A8A"/>
                <w:sz w:val="17"/>
              </w:rPr>
              <w:t>Technical White Paper v2.4 (2026)</w:t>
            </w:r>
          </w:p>
        </w:tc>
      </w:tr>
    </w:tbl>
    <w:p>
      <w:pPr>
        <w:spacing w:before="120" w:after="120"/>
      </w:pP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left w:val="single" w:sz="32" w:space="0" w:color="2563EB"/>
              <w:top w:val="none"/>
              <w:right w:val="none"/>
              <w:bottom w:val="none"/>
            </w:tcBorders>
          </w:tcPr>
          <w:p>
            <w:pPr>
              <w:spacing w:before="40" w:after="80"/>
            </w:pPr>
            <w:r>
              <w:rPr>
                <w:rFonts w:ascii="Calibri" w:hAnsi="Calibri"/>
                <w:b/>
                <w:color w:val="1E3A8A"/>
                <w:sz w:val="21"/>
              </w:rPr>
              <w:t>🔍 EXECUTIVE SUMMARY: THE 6G AUTONOMOUS VEHICLE DILEMMA</w:t>
              <w:br/>
            </w:r>
          </w:p>
          <w:p>
            <w:pPr>
              <w:spacing w:before="40" w:after="60" w:line="276" w:lineRule="auto"/>
            </w:pPr>
            <w:r>
              <w:rPr>
                <w:rFonts w:ascii="Calibri" w:hAnsi="Calibri"/>
                <w:color w:val="334155"/>
                <w:sz w:val="19"/>
              </w:rPr>
              <w:t>Connected Autonomous Vehicles (CAVs) generate over 4 Terabytes of raw sensory data per hour. To coordinate emergency maneuvers, share high-definition 3D LiDAR maps, and execute cooperative perception, vehicles must exchange data via ultra-wideband millimeter-wave (mmWave) 60 GHz channels.</w:t>
            </w:r>
          </w:p>
          <w:p>
            <w:pPr>
              <w:spacing w:before="40" w:after="60" w:line="276" w:lineRule="auto"/>
            </w:pPr>
            <w:r>
              <w:rPr>
                <w:rFonts w:ascii="Calibri" w:hAnsi="Calibri"/>
                <w:color w:val="334155"/>
                <w:sz w:val="19"/>
              </w:rPr>
              <w:t>The fundamental physical bottleneck: 60 GHz signals travel as razor-thin, pencil-like directional beams. Whenever vehicles accelerate, turn, or encounter road vibrations, these beams misalign. Traditional 5G exhaustively sweeps all 256 beam directions—costing 50 to 100 milliseconds of dead time during which vehicles travel blind.</w:t>
            </w:r>
          </w:p>
          <w:p>
            <w:pPr>
              <w:spacing w:before="40" w:after="60" w:line="276" w:lineRule="auto"/>
            </w:pPr>
            <w:r>
              <w:rPr>
                <w:rFonts w:ascii="Calibri" w:hAnsi="Calibri"/>
                <w:color w:val="334155"/>
                <w:sz w:val="19"/>
              </w:rPr>
              <w:t>Our Innovation: An end-to-end multi-modal deep learning architecture that fuses GPS kinematic trajectories (Bi-GRU) with forward RGB camera frames (ResNet-18) via Pre-LayerNorm Transformer Cross-Attention, coupled with an Adaptive Conformal PID Feedback Controller.</w:t>
            </w:r>
          </w:p>
          <w:p>
            <w:pPr>
              <w:spacing w:before="40" w:after="60" w:line="276" w:lineRule="auto"/>
            </w:pPr>
            <w:r>
              <w:rPr>
                <w:rFonts w:ascii="Calibri" w:hAnsi="Calibri"/>
                <w:color w:val="334155"/>
                <w:sz w:val="19"/>
              </w:rPr>
              <w:t>Key Benchmark Results: Slashes beam alignment search overhead by up to 99.2% (probing a compact subset instead of 256 beams), achieves -10.28 dB Average Power Loss, and mathematically guarantees an empirical miss rate &lt;= 9.2% under non-stationary highway mobility [From DeepSense Project Documentation].</w:t>
            </w:r>
          </w:p>
        </w:tc>
      </w:tr>
    </w:tbl>
    <w:p>
      <w:pPr>
        <w:spacing w:before="0" w:after="120"/>
      </w:pPr>
    </w:p>
    <w:p>
      <w:pPr>
        <w:keepNext/>
        <w:spacing w:before="320" w:after="120"/>
      </w:pPr>
      <w:r>
        <w:rPr>
          <w:rFonts w:ascii="Calibri" w:hAnsi="Calibri"/>
          <w:b/>
          <w:color w:val="1E3A8A"/>
          <w:sz w:val="30"/>
        </w:rPr>
        <w:t>I. INTRODUCTION: MOTIVATION &amp; THE PHYSICAL CHALLENGE</w:t>
      </w:r>
    </w:p>
    <w:p>
      <w:pPr>
        <w:keepNext/>
        <w:spacing w:before="240" w:after="80"/>
      </w:pPr>
      <w:r>
        <w:rPr>
          <w:rFonts w:ascii="Calibri" w:hAnsi="Calibri"/>
          <w:b/>
          <w:color w:val="2563EB"/>
          <w:sz w:val="24"/>
        </w:rPr>
        <w:t>1.1 The High-Bandwidth Imperative in Level 4/5 Autonomous Mobility</w:t>
      </w:r>
    </w:p>
    <w:p>
      <w:pPr>
        <w:spacing w:before="40" w:after="120" w:line="283" w:lineRule="auto"/>
      </w:pPr>
      <w:r>
        <w:rPr>
          <w:rFonts w:ascii="Calibri" w:hAnsi="Calibri"/>
          <w:b/>
          <w:color w:val="334155"/>
          <w:sz w:val="21"/>
        </w:rPr>
        <w:t xml:space="preserve">The Limits of Isolated Perception: </w:t>
      </w:r>
      <w:r>
        <w:rPr>
          <w:rFonts w:ascii="Calibri" w:hAnsi="Calibri"/>
          <w:color w:val="334155"/>
          <w:sz w:val="21"/>
        </w:rPr>
        <w:t>Modern autonomous transportation stands at a critical technological crossroads. While onboard perception algorithms have made remarkable strides in object detection and semantic segmentation, individual vehicles remain constrained by their immediate Line-of-Sight (LOS). A solitary autonomous car cannot see through a 18-wheel tractor-trailer merging ahead, nor can it anticipate a pedestrian stepping into a blind intersection around a concrete building corner.</w:t>
      </w:r>
    </w:p>
    <w:p>
      <w:pPr>
        <w:spacing w:before="40" w:after="120" w:line="283" w:lineRule="auto"/>
      </w:pPr>
      <w:r>
        <w:rPr>
          <w:rFonts w:ascii="Calibri" w:hAnsi="Calibri"/>
          <w:color w:val="334155"/>
          <w:sz w:val="21"/>
        </w:rPr>
        <w:t>To achieve true Level 4 and Level 5 safety, vehicles must transcend isolated perception through Vehicle-to-Vehicle (V2V) cooperative intelligence. In a cooperative network, leading vehicles continuously broadcast their real-time 3D point clouds, camera streams, and kinematic intentions to trailing vehicles. However, streaming uncompressed sensor data demands massive data rates exceeding 10 to 20 Gigabits per second (Gbps)—a throughput impossible on congested legacy sub-6 GHz spectrums like 4G LTE or standard Wi-Fi (DSRC) [From DeepSense Project Documentation].</w:t>
      </w:r>
    </w:p>
    <w:p>
      <w:pPr>
        <w:keepNext/>
        <w:spacing w:before="240" w:after="80"/>
      </w:pPr>
      <w:r>
        <w:rPr>
          <w:rFonts w:ascii="Calibri" w:hAnsi="Calibri"/>
          <w:b/>
          <w:color w:val="2563EB"/>
          <w:sz w:val="24"/>
        </w:rPr>
        <w:t>1.2 The Physics of Directional mmWave: The 'Lightbulb vs. Laser Pointer' Analogy</w:t>
      </w:r>
    </w:p>
    <w:p>
      <w:pPr>
        <w:spacing w:before="40" w:after="120" w:line="283" w:lineRule="auto"/>
      </w:pPr>
      <w:r>
        <w:rPr>
          <w:rFonts w:ascii="Calibri" w:hAnsi="Calibri"/>
          <w:b/>
          <w:color w:val="334155"/>
          <w:sz w:val="21"/>
        </w:rPr>
        <w:t xml:space="preserve">The High-Frequency Tradeoff: </w:t>
      </w:r>
      <w:r>
        <w:rPr>
          <w:rFonts w:ascii="Calibri" w:hAnsi="Calibri"/>
          <w:color w:val="334155"/>
          <w:sz w:val="21"/>
        </w:rPr>
        <w:t>To achieve multi-gigabit throughput, next-generation 6G V2V networks transition upward into the millimeter-wave (mmWave) band, specifically around 60 GHz. While this spectrum offers vast, unallocated frequency bandwidth, it introduces severe physical propagation hurdles governed by Friis' transmission law.</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left w:val="single" w:sz="32" w:space="0" w:color="2563EB"/>
              <w:top w:val="none"/>
              <w:right w:val="none"/>
              <w:bottom w:val="none"/>
            </w:tcBorders>
          </w:tcPr>
          <w:p>
            <w:pPr>
              <w:spacing w:before="40" w:after="80"/>
            </w:pPr>
            <w:r>
              <w:rPr>
                <w:rFonts w:ascii="Calibri" w:hAnsi="Calibri"/>
                <w:b/>
                <w:color w:val="1E3A8A"/>
                <w:sz w:val="21"/>
              </w:rPr>
              <w:t>📌 PEDAGOGICAL DEFINITION: THE LIGHTBULB VS. LASER POINTER ANALOGY</w:t>
              <w:br/>
            </w:r>
          </w:p>
          <w:p>
            <w:pPr>
              <w:spacing w:before="40" w:after="60" w:line="276" w:lineRule="auto"/>
            </w:pPr>
            <w:r>
              <w:rPr>
                <w:rFonts w:ascii="Calibri" w:hAnsi="Calibri"/>
                <w:color w:val="334155"/>
                <w:sz w:val="19"/>
              </w:rPr>
              <w:t>• Legacy Sub-6 GHz Signals (The Bare Lightbulb): Emits radio energy uniformly in all directions. While easy to receive from any orientation, the energy disperses rapidly with distance, limiting both bandwidth and data transmission speed.</w:t>
            </w:r>
          </w:p>
          <w:p>
            <w:pPr>
              <w:spacing w:before="40" w:after="60" w:line="276" w:lineRule="auto"/>
            </w:pPr>
            <w:r>
              <w:rPr>
                <w:rFonts w:ascii="Calibri" w:hAnsi="Calibri"/>
                <w:color w:val="334155"/>
                <w:sz w:val="19"/>
              </w:rPr>
              <w:t>• 60 GHz Millimeter-Wave Signals (The Laser Pointer): Focuses all available electromagnetic energy into an ultra-narrow, razor-thin pencil beam. While it enables blistering 20+ Gbps data rates across long distances, the transmitter and receiver must point directly at each other with sub-degree angular precision. If either vehicle shifts by even a few inches, the laser misses the receiver, causing an immediate communication blackout.</w:t>
            </w:r>
          </w:p>
        </w:tc>
      </w:tr>
    </w:tbl>
    <w:p>
      <w:pPr>
        <w:spacing w:before="0" w:after="120"/>
      </w:pPr>
    </w:p>
    <w:p>
      <w:pPr>
        <w:keepNext/>
        <w:spacing w:before="240" w:after="80"/>
      </w:pPr>
      <w:r>
        <w:rPr>
          <w:rFonts w:ascii="Calibri" w:hAnsi="Calibri"/>
          <w:b/>
          <w:color w:val="2563EB"/>
          <w:sz w:val="24"/>
        </w:rPr>
        <w:t>1.3 The Core Problem: The Exhaustive Beam-Sweeping Bottleneck</w:t>
      </w:r>
    </w:p>
    <w:p>
      <w:pPr>
        <w:spacing w:before="40" w:after="120" w:line="283" w:lineRule="auto"/>
      </w:pPr>
      <w:r>
        <w:rPr>
          <w:rFonts w:ascii="Calibri" w:hAnsi="Calibri"/>
          <w:b/>
          <w:color w:val="334155"/>
          <w:sz w:val="21"/>
        </w:rPr>
        <w:t xml:space="preserve">The Legacy Protocol: </w:t>
      </w:r>
      <w:r>
        <w:rPr>
          <w:rFonts w:ascii="Calibri" w:hAnsi="Calibri"/>
          <w:color w:val="334155"/>
          <w:sz w:val="21"/>
        </w:rPr>
        <w:t>In traditional telecommunication protocols (such as IEEE 802.11ad/ay and 5G New Radio), when two mobile units lose directional alignment, they enter an 'Exhaustive Beam Sweep.' The receiver systematically tests all 256 candidate beam angles across its phased-array antennas one by one, listening for a synchronization beacon from the transmitter [From DeepSense Project Documentation].</w:t>
      </w:r>
    </w:p>
    <w:p>
      <w:pPr>
        <w:spacing w:before="40" w:after="120" w:line="283" w:lineRule="auto"/>
      </w:pPr>
      <w:r>
        <w:rPr>
          <w:rFonts w:ascii="Calibri" w:hAnsi="Calibri"/>
          <w:b/>
          <w:color w:val="334155"/>
          <w:sz w:val="21"/>
        </w:rPr>
        <w:t xml:space="preserve">The Deadly Latency Penalty: </w:t>
      </w:r>
      <w:r>
        <w:rPr>
          <w:rFonts w:ascii="Calibri" w:hAnsi="Calibri"/>
          <w:color w:val="334155"/>
          <w:sz w:val="21"/>
        </w:rPr>
        <w:t>In a static living room with a stationary router, sweeping 256 beams in 50 to 100 milliseconds is unnoticeable. But in high-speed highway mobility, vehicles traveling at 70 mph (31.3 m/s) cover over 3 meters of physical distance during a 100 ms sweep! By the time the receiver finishes probing beam #256, the spatial geometry has already changed, rendering the chosen beam obsolete. This creates an endless cycle of search latency, link dropouts, and packet loss.</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left w:val="single" w:sz="32" w:space="0" w:color="2563EB"/>
              <w:top w:val="none"/>
              <w:right w:val="none"/>
              <w:bottom w:val="none"/>
            </w:tcBorders>
          </w:tcPr>
          <w:p>
            <w:pPr>
              <w:spacing w:before="40" w:after="80"/>
            </w:pPr>
            <w:r>
              <w:rPr>
                <w:rFonts w:ascii="Calibri" w:hAnsi="Calibri"/>
                <w:b/>
                <w:color w:val="1E3A8A"/>
                <w:sz w:val="21"/>
              </w:rPr>
              <w:t>📌 KEY TAKEAWAY: THE CORE RESEARCH OBJECTIVE</w:t>
              <w:br/>
            </w:r>
          </w:p>
          <w:p>
            <w:pPr>
              <w:spacing w:before="40" w:after="60" w:line="276" w:lineRule="auto"/>
            </w:pPr>
            <w:r>
              <w:rPr>
                <w:rFonts w:ascii="Calibri" w:hAnsi="Calibri"/>
                <w:color w:val="334155"/>
                <w:sz w:val="19"/>
              </w:rPr>
              <w:t>• The Problem: Exhaustive 256-beam sweeping exhibits O(N) linear time complexity, burning 50-100 ms and up to 30% of channel capacity on blind probing.</w:t>
            </w:r>
          </w:p>
          <w:p>
            <w:pPr>
              <w:spacing w:before="40" w:after="60" w:line="276" w:lineRule="auto"/>
            </w:pPr>
            <w:r>
              <w:rPr>
                <w:rFonts w:ascii="Calibri" w:hAnsi="Calibri"/>
                <w:color w:val="334155"/>
                <w:sz w:val="19"/>
              </w:rPr>
              <w:t>• Our Target: Transform beam alignment into a near-O(1) predictive task by leveraging passive onboard sensors (GPS and Cameras) to instantly predict the optimal beam direction with zero RF sweep overhead.</w:t>
            </w:r>
          </w:p>
        </w:tc>
      </w:tr>
    </w:tbl>
    <w:p>
      <w:pPr>
        <w:spacing w:before="0" w:after="120"/>
      </w:pPr>
    </w:p>
    <w:p>
      <w:pPr>
        <w:keepNext/>
        <w:spacing w:before="320" w:after="120"/>
      </w:pPr>
      <w:r>
        <w:rPr>
          <w:rFonts w:ascii="Calibri" w:hAnsi="Calibri"/>
          <w:b/>
          <w:color w:val="1E3A8A"/>
          <w:sz w:val="30"/>
        </w:rPr>
        <w:t>II. THE ARCHITECTURAL CHALLENGE: SENSORS, HARDWARE &amp; SCIENTIFIC RIGOR</w:t>
      </w:r>
    </w:p>
    <w:p>
      <w:pPr>
        <w:keepNext/>
        <w:spacing w:before="240" w:after="80"/>
      </w:pPr>
      <w:r>
        <w:rPr>
          <w:rFonts w:ascii="Calibri" w:hAnsi="Calibri"/>
          <w:b/>
          <w:color w:val="2563EB"/>
          <w:sz w:val="24"/>
        </w:rPr>
        <w:t>2.1 Hardware Testbed &amp; Dual-Vehicle Phased-Array Geometry</w:t>
      </w:r>
    </w:p>
    <w:p>
      <w:pPr>
        <w:spacing w:before="40" w:after="120" w:line="283" w:lineRule="auto"/>
      </w:pPr>
      <w:r>
        <w:rPr>
          <w:rFonts w:ascii="Calibri" w:hAnsi="Calibri"/>
          <w:b/>
          <w:color w:val="334155"/>
          <w:sz w:val="21"/>
        </w:rPr>
        <w:t xml:space="preserve">The DeepSense Testbed: </w:t>
      </w:r>
      <w:r>
        <w:rPr>
          <w:rFonts w:ascii="Calibri" w:hAnsi="Calibri"/>
          <w:color w:val="334155"/>
          <w:sz w:val="21"/>
        </w:rPr>
        <w:t>Our empirical foundation is built upon real-world multi-modal data from DeepSense 6G Scenario 36, collected across complex urban arterials and highway environments in Arizona. The experimental testbed consists of two production vehicles equipped with synchronized industrial sensors [From DeepSense Project Documentation]:</w:t>
      </w:r>
    </w:p>
    <w:p>
      <w:pPr>
        <w:spacing w:before="40" w:after="120" w:line="283" w:lineRule="auto"/>
      </w:pPr>
      <w:r>
        <w:rPr>
          <w:rFonts w:ascii="Calibri" w:hAnsi="Calibri"/>
          <w:color w:val="334155"/>
          <w:sz w:val="21"/>
        </w:rPr>
        <w:t>1. Unit 1 (The Receiver Vehicle — Ford Transit Van): Roof-mounted with four 64-element 60 GHz planar phased-array antenna panels (producing 4 x 64 = 256 total narrow beams), a forward-looking ZED2 stereo RGB camera, and high-precision RTK-GPS telemetry.</w:t>
        <w:br/>
        <w:t>2. Unit 2 (The Transmitter Vehicle — Lincoln MKZ Sedan): Equipped with a 60 GHz quasi-omnidirectional beacon transmitter and synchronized RTK-GPS broadcasting vehicle telemetry.</w:t>
      </w:r>
    </w:p>
    <w:p>
      <w:pPr>
        <w:spacing w:before="40" w:after="120" w:line="283" w:lineRule="auto"/>
      </w:pPr>
      <w:r>
        <w:rPr>
          <w:rFonts w:ascii="Calibri" w:hAnsi="Calibri"/>
          <w:b/>
          <w:color w:val="334155"/>
          <w:sz w:val="21"/>
        </w:rPr>
        <w:t xml:space="preserve">The 256-Beam Codebook: </w:t>
      </w:r>
      <w:r>
        <w:rPr>
          <w:rFonts w:ascii="Calibri" w:hAnsi="Calibri"/>
          <w:color w:val="334155"/>
          <w:sz w:val="21"/>
        </w:rPr>
        <w:t>The 256 beams cover a wide 360-degree azimuthal and elevation horizon. Each sample in the dataset contains a full ground-truth received power vector P in linear milliwatts (mW) across all 256 discrete beam directions, recorded alongside synchronized multi-camera video frames and GPS coordinates.</w:t>
      </w:r>
    </w:p>
    <w:p>
      <w:pPr>
        <w:keepNext/>
        <w:spacing w:before="240" w:after="80"/>
      </w:pPr>
      <w:r>
        <w:rPr>
          <w:rFonts w:ascii="Calibri" w:hAnsi="Calibri"/>
          <w:b/>
          <w:color w:val="2563EB"/>
          <w:sz w:val="24"/>
        </w:rPr>
        <w:t>2.2 Why Multi-Modal Sensing? Complementary Contextual Roles</w:t>
      </w:r>
    </w:p>
    <w:p>
      <w:pPr>
        <w:spacing w:before="40" w:after="120" w:line="283" w:lineRule="auto"/>
      </w:pPr>
      <w:r>
        <w:rPr>
          <w:rFonts w:ascii="Calibri" w:hAnsi="Calibri"/>
          <w:b/>
          <w:color w:val="334155"/>
          <w:sz w:val="21"/>
        </w:rPr>
        <w:t xml:space="preserve">The Multi-Modal Imperative: </w:t>
      </w:r>
      <w:r>
        <w:rPr>
          <w:rFonts w:ascii="Calibri" w:hAnsi="Calibri"/>
          <w:color w:val="334155"/>
          <w:sz w:val="21"/>
        </w:rPr>
        <w:t>A central question in AI system design is: Why not rely on GPS alone or Camera alone? Physical world dynamics reveal why single-sensor approaches consistently fail in mission-critical V2V links:</w:t>
      </w:r>
    </w:p>
    <w:p>
      <w:pPr>
        <w:spacing w:before="40" w:after="120" w:line="283" w:lineRule="auto"/>
      </w:pPr>
      <w:r>
        <w:rPr>
          <w:rFonts w:ascii="Calibri" w:hAnsi="Calibri"/>
          <w:color w:val="334155"/>
          <w:sz w:val="21"/>
        </w:rPr>
        <w:t>• GPS Kinematics Provide Macro-Spatial Context: GPS coordinates deliver absolute geographic positions, relative Line-of-Sight Euclidean distance, closing velocities, and heading rates. However, GPS signals suffer from severe multipath reflections in urban canyons (tall glass skyscrapers) and have latency in reporting sub-meter lateral vehicle shifts.</w:t>
        <w:br/>
        <w:t>• RGB Vision Provides Micro-Environmental Context: Forward camera frames capture high-resolution visual cues—such as road curvature, vehicle pitch/roll, leading vehicle bounding silhouettes, and intervening visual occlusions (e.g., an overtaking truck blocking the direct beam). However, cameras degrade under heavy rain, dense fog, or direct sun glare.</w:t>
        <w:br/>
        <w:t>• The Fusion Advantage: By combining kinematics with computer vision, the neural network achieves robust, all-weather situational awareness, seamlessly leaning on GPS when vision is obscured and leveraging vision when GPS experiences urban drift [From DeepSense Project Documentation].</w:t>
      </w:r>
    </w:p>
    <w:p>
      <w:pPr>
        <w:keepNext/>
        <w:spacing w:before="240" w:after="80"/>
      </w:pPr>
      <w:r>
        <w:rPr>
          <w:rFonts w:ascii="Calibri" w:hAnsi="Calibri"/>
          <w:b/>
          <w:color w:val="2563EB"/>
          <w:sz w:val="24"/>
        </w:rPr>
        <w:t>2.3 The Drive-Block Protocol &amp; Eliminating the 0% Leakage Bug</w:t>
      </w:r>
    </w:p>
    <w:p>
      <w:pPr>
        <w:spacing w:before="40" w:after="120" w:line="283" w:lineRule="auto"/>
      </w:pPr>
      <w:r>
        <w:rPr>
          <w:rFonts w:ascii="Calibri" w:hAnsi="Calibri"/>
          <w:b/>
          <w:color w:val="334155"/>
          <w:sz w:val="21"/>
        </w:rPr>
        <w:t xml:space="preserve">The Scientific Rigor Challenge: </w:t>
      </w:r>
      <w:r>
        <w:rPr>
          <w:rFonts w:ascii="Calibri" w:hAnsi="Calibri"/>
          <w:color w:val="334155"/>
          <w:sz w:val="21"/>
        </w:rPr>
        <w:t>A critical pitfall in temporal time-series machine learning is naive chronological or random row-based dataset splitting. In V2V research, failing to audit data partitioning produces severe scientific flaws:</w:t>
      </w:r>
    </w:p>
    <w:p>
      <w:pPr>
        <w:spacing w:before="40" w:after="120" w:line="283" w:lineRule="auto"/>
      </w:pPr>
      <w:r>
        <w:rPr>
          <w:rFonts w:ascii="Calibri" w:hAnsi="Calibri"/>
          <w:b/>
          <w:color w:val="334155"/>
          <w:sz w:val="21"/>
        </w:rPr>
        <w:t xml:space="preserve">The Two Data Traps: </w:t>
      </w:r>
      <w:r>
        <w:rPr>
          <w:rFonts w:ascii="Calibri" w:hAnsi="Calibri"/>
          <w:color w:val="334155"/>
          <w:sz w:val="21"/>
        </w:rPr>
        <w:t>1. The 0% Spatial Cluster Hazard: If samples are partitioned chronologically by timestamp (e.g., the first 70% of rows for training, last 15% for testing), all test samples end up clustered in geographic neighborhoods never seen during training, causing artificial performance degradation.</w:t>
        <w:br/>
        <w:t>2. Temporal Window Leakage: When using a 3-second sliding window history (30 time steps), adjacent rows share 29 overlapping time steps. A naive random row split leaks 29 steps of future test data directly into the training set, causing massive artificial memorization.</w:t>
      </w:r>
    </w:p>
    <w:p>
      <w:pPr>
        <w:spacing w:before="40" w:after="120" w:line="283" w:lineRule="auto"/>
      </w:pPr>
      <w:r>
        <w:rPr>
          <w:rFonts w:ascii="Calibri" w:hAnsi="Calibri"/>
          <w:b/>
          <w:color w:val="334155"/>
          <w:sz w:val="21"/>
        </w:rPr>
        <w:t xml:space="preserve">The Zero-Leakage Protocol: </w:t>
      </w:r>
      <w:r>
        <w:rPr>
          <w:rFonts w:ascii="Calibri" w:hAnsi="Calibri"/>
          <w:color w:val="334155"/>
          <w:sz w:val="21"/>
        </w:rPr>
        <w:t>Our Solution (Drive-Block Partitioning): We structure all 24,799 samples strictly by continuous driving trajectory runs (124 distinct drives recorded under 'seq_index'). Entire independent drives are randomly partitioned into Train (70%, 17,199 samples), Calibration (15%, 3,600 samples), and Test (15%, 4,000 samples). This guarantees absolute zero temporal and spatial leakage, ensuring our empirical results reflect true real-world generalization [From DeepSense Project Documentation].</w:t>
      </w:r>
    </w:p>
    <w:p>
      <w:pPr>
        <w:keepNext/>
        <w:spacing w:before="320" w:after="120"/>
      </w:pPr>
      <w:r>
        <w:rPr>
          <w:rFonts w:ascii="Calibri" w:hAnsi="Calibri"/>
          <w:b/>
          <w:color w:val="1E3A8A"/>
          <w:sz w:val="30"/>
        </w:rPr>
        <w:t>III. THE MODELING SOLUTION: MULTI-MODAL NEURAL ARCHITECTURE</w:t>
      </w:r>
    </w:p>
    <w:p>
      <w:pPr>
        <w:keepNext/>
        <w:spacing w:before="240" w:after="80"/>
      </w:pPr>
      <w:r>
        <w:rPr>
          <w:rFonts w:ascii="Calibri" w:hAnsi="Calibri"/>
          <w:b/>
          <w:color w:val="2563EB"/>
          <w:sz w:val="24"/>
        </w:rPr>
        <w:t>3.1 Spatial Kinematics Trajectory Encoder (Bidirectional GRU)</w:t>
      </w:r>
    </w:p>
    <w:p>
      <w:pPr>
        <w:spacing w:before="40" w:after="120" w:line="283" w:lineRule="auto"/>
      </w:pPr>
      <w:r>
        <w:rPr>
          <w:rFonts w:ascii="Calibri" w:hAnsi="Calibri"/>
          <w:b/>
          <w:color w:val="334155"/>
          <w:sz w:val="21"/>
        </w:rPr>
        <w:t xml:space="preserve">Feature Engineering: </w:t>
      </w:r>
      <w:r>
        <w:rPr>
          <w:rFonts w:ascii="Calibri" w:hAnsi="Calibri"/>
          <w:color w:val="334155"/>
          <w:sz w:val="21"/>
        </w:rPr>
        <w:t>The kinematics pipeline ingests a 3.0-second sliding history (30 time frames sampled at 10 Hz) of dual-vehicle telemetry. Rather than feeding raw latitude and longitude numbers—which are unbounded and cause gradient instability—we engineer 12 relative spatial features [From DeepSense Project Documentation]:</w:t>
      </w:r>
    </w:p>
    <w:p>
      <w:pPr>
        <w:spacing w:before="40" w:after="120" w:line="283" w:lineRule="auto"/>
      </w:pPr>
      <w:r>
        <w:rPr>
          <w:rFonts w:ascii="Calibri" w:hAnsi="Calibri"/>
          <w:color w:val="334155"/>
          <w:sz w:val="21"/>
        </w:rPr>
        <w:t>• Relative Displacements: Delta_lat = Lat_Unit2 - Lat_Unit1 and Delta_lon = Lon_Unit2 - Lon_Unit1</w:t>
        <w:br/>
        <w:t>• Euclidean Distance: d = sqrt(Delta_lat^2 + Delta_lon^2) * 111,000 meters (Line-of-Sight distance)</w:t>
        <w:br/>
        <w:t>• Azimuth Bearing Angle: theta = arctan2(Delta_lon, Delta_lat) radians</w:t>
        <w:br/>
        <w:t>• Trigonometric Projections: sin(theta) and cos(theta)</w:t>
        <w:br/>
        <w:t>• Dynamic Temporal Rates: Bearing angular velocity d(theta)/dt and distance closing rate dd/dt</w:t>
        <w:br/>
        <w:t>• Kinematic Telemetry: Instantaneous vehicle speeds (v1, v2) and compass headings (phi1, phi2).</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left w:val="single" w:sz="32" w:space="0" w:color="2563EB"/>
              <w:top w:val="none"/>
              <w:right w:val="none"/>
              <w:bottom w:val="none"/>
            </w:tcBorders>
          </w:tcPr>
          <w:p>
            <w:pPr>
              <w:spacing w:before="40" w:after="80"/>
            </w:pPr>
            <w:r>
              <w:rPr>
                <w:rFonts w:ascii="Calibri" w:hAnsi="Calibri"/>
                <w:b/>
                <w:color w:val="1E3A8A"/>
                <w:sz w:val="21"/>
              </w:rPr>
              <w:t>📌 WHY TRIGONOMETRIC SIN(THETA) &amp; COS(THETA) ENCODING IS MATHEMATICALLY ESSENTIAL</w:t>
              <w:br/>
            </w:r>
          </w:p>
          <w:p>
            <w:pPr>
              <w:spacing w:before="40" w:after="60" w:line="276" w:lineRule="auto"/>
            </w:pPr>
            <w:r>
              <w:rPr>
                <w:rFonts w:ascii="Calibri" w:hAnsi="Calibri"/>
                <w:color w:val="334155"/>
                <w:sz w:val="19"/>
              </w:rPr>
              <w:t>In planar geometry, an azimuth angle of -179 degrees and +179 degrees represent almost the exact same physical direction (a tiny 2-degree difference directly behind the vehicle).</w:t>
            </w:r>
          </w:p>
          <w:p>
            <w:pPr>
              <w:spacing w:before="40" w:after="60" w:line="276" w:lineRule="auto"/>
            </w:pPr>
            <w:r>
              <w:rPr>
                <w:rFonts w:ascii="Calibri" w:hAnsi="Calibri"/>
                <w:color w:val="334155"/>
                <w:sz w:val="19"/>
              </w:rPr>
              <w:t>However, if fed as raw numbers to a neural network, the values jump discontinuously across a massive 358-degree numerical cliff (-3.14 to +3.14 radians). This catastrophic boundary discontinuity shatters gradient descent and destabilizes weight updates.</w:t>
            </w:r>
          </w:p>
          <w:p>
            <w:pPr>
              <w:spacing w:before="40" w:after="60" w:line="276" w:lineRule="auto"/>
            </w:pPr>
            <w:r>
              <w:rPr>
                <w:rFonts w:ascii="Calibri" w:hAnsi="Calibri"/>
                <w:color w:val="334155"/>
                <w:sz w:val="19"/>
              </w:rPr>
              <w:t>By mapping theta to its orthogonal components (sin(theta), cos(theta)), the geometric representation becomes perfectly continuous across all 360 degrees, allowing smooth, uninterrupted neural gradient flow.</w:t>
            </w:r>
          </w:p>
        </w:tc>
      </w:tr>
    </w:tbl>
    <w:p>
      <w:pPr>
        <w:spacing w:before="0" w:after="120"/>
      </w:pPr>
    </w:p>
    <w:p>
      <w:pPr>
        <w:spacing w:before="40" w:after="120" w:line="283" w:lineRule="auto"/>
      </w:pPr>
      <w:r>
        <w:rPr>
          <w:rFonts w:ascii="Calibri" w:hAnsi="Calibri"/>
          <w:b/>
          <w:color w:val="334155"/>
          <w:sz w:val="21"/>
        </w:rPr>
        <w:t xml:space="preserve">Bi-GRU Temporal Modeling: </w:t>
      </w:r>
      <w:r>
        <w:rPr>
          <w:rFonts w:ascii="Calibri" w:hAnsi="Calibri"/>
          <w:color w:val="334155"/>
          <w:sz w:val="21"/>
        </w:rPr>
        <w:t>These 12 features are passed through a 2-Layer Bidirectional Gated Recurrent Unit (Bi-GRU) with Layer Normalization. The forward GRU models causal trajectory progression, while the backward GRU refines temporal context, compressing the 30-frame sequence into a rich 192-dimensional spatial latent vector.</w:t>
      </w:r>
    </w:p>
    <w:p>
      <w:pPr>
        <w:keepNext/>
        <w:spacing w:before="240" w:after="80"/>
      </w:pPr>
      <w:r>
        <w:rPr>
          <w:rFonts w:ascii="Calibri" w:hAnsi="Calibri"/>
          <w:b/>
          <w:color w:val="2563EB"/>
          <w:sz w:val="24"/>
        </w:rPr>
        <w:t>3.2 Visual Scene Encoder (Fine-Tuned ResNet-18)</w:t>
      </w:r>
    </w:p>
    <w:p>
      <w:pPr>
        <w:spacing w:before="40" w:after="120" w:line="283" w:lineRule="auto"/>
      </w:pPr>
      <w:r>
        <w:rPr>
          <w:rFonts w:ascii="Calibri" w:hAnsi="Calibri"/>
          <w:b/>
          <w:color w:val="334155"/>
          <w:sz w:val="21"/>
        </w:rPr>
        <w:t xml:space="preserve">Visual Processing Stream: </w:t>
      </w:r>
      <w:r>
        <w:rPr>
          <w:rFonts w:ascii="Calibri" w:hAnsi="Calibri"/>
          <w:color w:val="334155"/>
          <w:sz w:val="21"/>
        </w:rPr>
        <w:t>The visual pipeline processes a synchronized 5-frame sequence of forward-facing RGB camera images resized to 96x96 pixels. To balance feature representation power with millisecond inference constraints, we deploy a domain-adapted ResNet-18 backbone [From DeepSense Project Documentation].</w:t>
      </w:r>
    </w:p>
    <w:p>
      <w:pPr>
        <w:spacing w:before="40" w:after="120" w:line="283" w:lineRule="auto"/>
      </w:pPr>
      <w:r>
        <w:rPr>
          <w:rFonts w:ascii="Calibri" w:hAnsi="Calibri"/>
          <w:b/>
          <w:color w:val="334155"/>
          <w:sz w:val="21"/>
        </w:rPr>
        <w:t xml:space="preserve">Layer-Selective Unfreezing: </w:t>
      </w:r>
      <w:r>
        <w:rPr>
          <w:rFonts w:ascii="Calibri" w:hAnsi="Calibri"/>
          <w:color w:val="334155"/>
          <w:sz w:val="21"/>
        </w:rPr>
        <w:t>Early convolutional layers (Layers 1 and 2) are frozen to preserve generalized edge and corner filters pre-trained on ImageNet. Meanwhile, the deeper spatial layers (Layers 3 and 4) are unfrozen and fine-tuned on road scene geometry, leading vehicle contours, and visual occlusion boundaries, producing a compact sequence of visual tokens.</w:t>
      </w:r>
    </w:p>
    <w:p>
      <w:pPr>
        <w:keepNext/>
        <w:spacing w:before="240" w:after="80"/>
      </w:pPr>
      <w:r>
        <w:rPr>
          <w:rFonts w:ascii="Calibri" w:hAnsi="Calibri"/>
          <w:b/>
          <w:color w:val="2563EB"/>
          <w:sz w:val="24"/>
        </w:rPr>
        <w:t>3.3 Transformer Cross-Modal Fusion: The 'Dynamic Conductor'</w:t>
      </w:r>
    </w:p>
    <w:p>
      <w:pPr>
        <w:spacing w:before="40" w:after="120" w:line="283" w:lineRule="auto"/>
      </w:pPr>
      <w:r>
        <w:rPr>
          <w:rFonts w:ascii="Calibri" w:hAnsi="Calibri"/>
          <w:b/>
          <w:color w:val="334155"/>
          <w:sz w:val="21"/>
        </w:rPr>
        <w:t xml:space="preserve">The Cross-Modal Conundrum: </w:t>
      </w:r>
      <w:r>
        <w:rPr>
          <w:rFonts w:ascii="Calibri" w:hAnsi="Calibri"/>
          <w:color w:val="334155"/>
          <w:sz w:val="21"/>
        </w:rPr>
        <w:t>Once spatial kinematics and visual tokens are extracted, they must be fused intelligently. Naive concatenation or simple linear addition fails because it assigns fixed, static importance to each sensor regardless of environmental conditions.</w:t>
      </w:r>
    </w:p>
    <w:p>
      <w:pPr>
        <w:spacing w:before="40" w:after="120" w:line="283" w:lineRule="auto"/>
      </w:pPr>
      <w:r>
        <w:rPr>
          <w:rFonts w:ascii="Calibri" w:hAnsi="Calibri"/>
          <w:b/>
          <w:color w:val="334155"/>
          <w:sz w:val="21"/>
        </w:rPr>
        <w:t xml:space="preserve">The Dynamic Conductor Analogy: </w:t>
      </w:r>
      <w:r>
        <w:rPr>
          <w:rFonts w:ascii="Calibri" w:hAnsi="Calibri"/>
          <w:color w:val="334155"/>
          <w:sz w:val="21"/>
        </w:rPr>
        <w:t>Our architecture deploys a 2-Layer Pre-LayerNorm Transformer Multi-Head Attention Fusion Core with 4 attention heads and a learnable classification [CLS] token. The Transformer acts as an intelligent 'Dynamic Conductor':</w:t>
      </w:r>
    </w:p>
    <w:p>
      <w:pPr>
        <w:spacing w:before="40" w:after="120" w:line="283" w:lineRule="auto"/>
      </w:pPr>
      <w:r>
        <w:rPr>
          <w:rFonts w:ascii="Calibri" w:hAnsi="Calibri"/>
          <w:color w:val="334155"/>
          <w:sz w:val="21"/>
        </w:rPr>
        <w:t>• At Night or in Thick Fog: The cross-attention mechanism detects low visual entropy and near-zero feature variance in the camera tokens, automatically shifting attention weights to the GPS kinematics stream.</w:t>
        <w:br/>
        <w:t>• In High-Rise Urban Canyons (GPS Multipath): The Transformer detects inconsistencies in the GPS velocity gradients and reallocates attention weights to the visual stream to track the vehicle's optical silhouette.</w:t>
        <w:br/>
        <w:t>• The Output: A deeply fused 192-dimensional multi-modal representation extracted from the transformed [CLS] token [From DeepSense Project Documentation].</w:t>
      </w:r>
    </w:p>
    <w:p>
      <w:pPr>
        <w:keepNext/>
        <w:spacing w:before="240" w:after="80"/>
      </w:pPr>
      <w:r>
        <w:rPr>
          <w:rFonts w:ascii="Calibri" w:hAnsi="Calibri"/>
          <w:b/>
          <w:color w:val="2563EB"/>
          <w:sz w:val="24"/>
        </w:rPr>
        <w:t>3.4 Multi-Task Decoupled Heads &amp; Power Profile Regression</w:t>
      </w:r>
    </w:p>
    <w:p>
      <w:pPr>
        <w:spacing w:before="40" w:after="120" w:line="283" w:lineRule="auto"/>
      </w:pPr>
      <w:r>
        <w:rPr>
          <w:rFonts w:ascii="Calibri" w:hAnsi="Calibri"/>
          <w:b/>
          <w:color w:val="334155"/>
          <w:sz w:val="21"/>
        </w:rPr>
        <w:t xml:space="preserve">Why Classification Alone is Dangerous: </w:t>
      </w:r>
      <w:r>
        <w:rPr>
          <w:rFonts w:ascii="Calibri" w:hAnsi="Calibri"/>
          <w:color w:val="334155"/>
          <w:sz w:val="21"/>
        </w:rPr>
        <w:t>A critical innovation in our pipeline is the rejection of pure single-class beam classification. In physical RF communications, predicting only the single top beam index (0 to 255) is fundamentally dangerous: if the predicted beam is missed by 1 index, the system has no knowledge of how much power was lost or what neighboring beams might offer.</w:t>
      </w:r>
    </w:p>
    <w:p>
      <w:pPr>
        <w:spacing w:before="40" w:after="120" w:line="283" w:lineRule="auto"/>
      </w:pPr>
      <w:r>
        <w:rPr>
          <w:rFonts w:ascii="Calibri" w:hAnsi="Calibri"/>
          <w:b/>
          <w:color w:val="334155"/>
          <w:sz w:val="21"/>
        </w:rPr>
        <w:t xml:space="preserve">The Decoupled Multi-Task Design: </w:t>
      </w:r>
      <w:r>
        <w:rPr>
          <w:rFonts w:ascii="Calibri" w:hAnsi="Calibri"/>
          <w:color w:val="334155"/>
          <w:sz w:val="21"/>
        </w:rPr>
        <w:t>Our architecture splits into two decoupled multi-task heads operating simultaneously from the fused latent embedding:</w:t>
      </w:r>
    </w:p>
    <w:p>
      <w:pPr>
        <w:spacing w:before="40" w:after="120" w:line="283" w:lineRule="auto"/>
      </w:pPr>
      <w:r>
        <w:rPr>
          <w:rFonts w:ascii="Calibri" w:hAnsi="Calibri"/>
          <w:b/>
          <w:color w:val="334155"/>
          <w:sz w:val="21"/>
        </w:rPr>
        <w:t xml:space="preserve">Dual Objective Formulation: </w:t>
      </w:r>
      <w:r>
        <w:rPr>
          <w:rFonts w:ascii="Calibri" w:hAnsi="Calibri"/>
          <w:color w:val="334155"/>
          <w:sz w:val="21"/>
        </w:rPr>
        <w:t>1. Classification Head (256 Logits): Computes a discrete probability distribution over all 256 beam candidates using Cross-Entropy Loss with label smoothing (epsilon = 0.05) to prevent overconfident misclassifications.</w:t>
        <w:br/>
        <w:t>2. Regression Head (256 Continuous Power Values): Simultaneously predicts the complete 256-element received power spectrum in logarithmic decibels (P_dBm = 10 * log10(P_linear + 1e-12)) using Mean Squared Error (MSE) Loss.</w:t>
      </w:r>
    </w:p>
    <w:p>
      <w:pPr>
        <w:spacing w:before="40" w:after="120" w:line="283" w:lineRule="auto"/>
      </w:pPr>
      <w:r>
        <w:rPr>
          <w:rFonts w:ascii="Calibri" w:hAnsi="Calibri"/>
          <w:b/>
          <w:color w:val="334155"/>
          <w:sz w:val="21"/>
        </w:rPr>
        <w:t xml:space="preserve">Joint Loss Equation: </w:t>
      </w:r>
      <w:r>
        <w:rPr>
          <w:rFonts w:ascii="Calibri" w:hAnsi="Calibri"/>
          <w:color w:val="334155"/>
          <w:sz w:val="21"/>
        </w:rPr>
        <w:t>The overall network is trained end-to-end using a joint multi-task objective:</w:t>
        <w:br/>
        <w:t>Loss_total = (1 - alpha_loss) * Loss_CE(logits, true_beam) + alpha_loss * Loss_MSE(pred_dBm, true_dBm)</w:t>
        <w:br/>
        <w:t>where alpha_loss = 0.5 balances discrete beam identification with continuous RF energy landscape mapping [From DeepSense Project Documentation].</w:t>
      </w:r>
    </w:p>
    <w:p>
      <w:pPr>
        <w:keepNext/>
        <w:spacing w:before="320" w:after="120"/>
      </w:pPr>
      <w:r>
        <w:rPr>
          <w:rFonts w:ascii="Calibri" w:hAnsi="Calibri"/>
          <w:b/>
          <w:color w:val="1E3A8A"/>
          <w:sz w:val="30"/>
        </w:rPr>
        <w:t>IV. THE SAFETY GUARANTEE: CONFORMAL RISK CONTROL &amp; PID FEEDBACK</w:t>
      </w:r>
    </w:p>
    <w:p>
      <w:pPr>
        <w:keepNext/>
        <w:spacing w:before="240" w:after="80"/>
      </w:pPr>
      <w:r>
        <w:rPr>
          <w:rFonts w:ascii="Calibri" w:hAnsi="Calibri"/>
          <w:b/>
          <w:color w:val="2563EB"/>
          <w:sz w:val="24"/>
        </w:rPr>
        <w:t>4.1 The Fundamental Flaw of Raw AI Predictions in Mission-Critical Systems</w:t>
      </w:r>
    </w:p>
    <w:p>
      <w:pPr>
        <w:spacing w:before="40" w:after="120" w:line="283" w:lineRule="auto"/>
      </w:pPr>
      <w:r>
        <w:rPr>
          <w:rFonts w:ascii="Calibri" w:hAnsi="Calibri"/>
          <w:b/>
          <w:color w:val="334155"/>
          <w:sz w:val="21"/>
        </w:rPr>
        <w:t xml:space="preserve">The Reliability Gap: </w:t>
      </w:r>
      <w:r>
        <w:rPr>
          <w:rFonts w:ascii="Calibri" w:hAnsi="Calibri"/>
          <w:color w:val="334155"/>
          <w:sz w:val="21"/>
        </w:rPr>
        <w:t>In academic computer vision benchmarks, an 80% Top-1 accuracy is considered a major triumph. In mission-critical autonomous vehicle communications, however, an 80% accuracy means that 20% of the time—one out of every five communication handshakes—the link completely drops. In high-speed platooning, a 20% blackout rate is catastrophic.</w:t>
      </w:r>
    </w:p>
    <w:p>
      <w:pPr>
        <w:spacing w:before="40" w:after="120" w:line="283" w:lineRule="auto"/>
      </w:pPr>
      <w:r>
        <w:rPr>
          <w:rFonts w:ascii="Calibri" w:hAnsi="Calibri"/>
          <w:b/>
          <w:color w:val="334155"/>
          <w:sz w:val="21"/>
        </w:rPr>
        <w:t xml:space="preserve">The Candidate Set Paradigm: </w:t>
      </w:r>
      <w:r>
        <w:rPr>
          <w:rFonts w:ascii="Calibri" w:hAnsi="Calibri"/>
          <w:color w:val="334155"/>
          <w:sz w:val="21"/>
        </w:rPr>
        <w:t>A raw deep neural network outputs 'point predictions' with uncalibrated softmax confidences that cannot provide rigorous safety guarantees. What the automotive industry requires is not just a single guess, but a mathematically calibrated 'Candidate Safety Set' C(X) containing a compact group of top beams such that the true optimal beam is guaranteed to be present with high statistical probability [From DeepSense Project Documentation].</w:t>
      </w:r>
    </w:p>
    <w:p>
      <w:pPr>
        <w:keepNext/>
        <w:spacing w:before="240" w:after="80"/>
      </w:pPr>
      <w:r>
        <w:rPr>
          <w:rFonts w:ascii="Calibri" w:hAnsi="Calibri"/>
          <w:b/>
          <w:color w:val="2563EB"/>
          <w:sz w:val="24"/>
        </w:rPr>
        <w:t>4.2 Conformal Prediction: From Static Calibration to Non-Stationary Realities</w:t>
      </w:r>
    </w:p>
    <w:p>
      <w:pPr>
        <w:spacing w:before="40" w:after="120" w:line="283" w:lineRule="auto"/>
      </w:pPr>
      <w:r>
        <w:rPr>
          <w:rFonts w:ascii="Calibri" w:hAnsi="Calibri"/>
          <w:b/>
          <w:color w:val="334155"/>
          <w:sz w:val="21"/>
        </w:rPr>
        <w:t xml:space="preserve">Statistical Conformal Foundations: </w:t>
      </w:r>
      <w:r>
        <w:rPr>
          <w:rFonts w:ascii="Calibri" w:hAnsi="Calibri"/>
          <w:color w:val="334155"/>
          <w:sz w:val="21"/>
        </w:rPr>
        <w:t>Conformal Prediction is a modern branch of statistical learning theory that transforms heuristic model outputs into rigorous prediction sets with distribution-free, finite-sample guarantees. Given a user-defined maximum tolerable error rate alpha (e.g., alpha = 0.10, guaranteeing a 90% connection success rate), conformal calibration computes a non-conformity threshold q on an unseen calibration dataset.</w:t>
      </w:r>
    </w:p>
    <w:p>
      <w:pPr>
        <w:spacing w:before="40" w:after="120" w:line="283" w:lineRule="auto"/>
      </w:pPr>
      <w:r>
        <w:rPr>
          <w:rFonts w:ascii="Calibri" w:hAnsi="Calibri"/>
          <w:b/>
          <w:color w:val="334155"/>
          <w:sz w:val="21"/>
        </w:rPr>
        <w:t xml:space="preserve">The Static Calibration Mechanism: </w:t>
      </w:r>
      <w:r>
        <w:rPr>
          <w:rFonts w:ascii="Calibri" w:hAnsi="Calibri"/>
          <w:color w:val="334155"/>
          <w:sz w:val="21"/>
        </w:rPr>
        <w:t>In our regression framework, the non-conformity score S_i measures the predicted power gap between the estimated maximum beam and the candidate beam:</w:t>
        <w:br/>
        <w:t>S_i = max(P_pred) - P_pred(true_beam)</w:t>
        <w:br/>
        <w:t>On the calibration set of n = 3,600 samples, the static conformal quantile q is computed as the ceil((n+1)(1 - alpha)) / n empirical quantile. At test time, the vehicle probes only candidate beams whose predicted power gap falls within threshold q: C(X) = { b in {0..255} : max(P_pred) - P_pred(b) &lt;= q }.</w:t>
      </w:r>
    </w:p>
    <w:p>
      <w:pPr>
        <w:spacing w:before="40" w:after="120" w:line="283" w:lineRule="auto"/>
      </w:pPr>
      <w:r>
        <w:rPr>
          <w:rFonts w:ascii="Calibri" w:hAnsi="Calibri"/>
          <w:b/>
          <w:color w:val="334155"/>
          <w:sz w:val="21"/>
        </w:rPr>
        <w:t xml:space="preserve">The Non-Stationary Breakdown: </w:t>
      </w:r>
      <w:r>
        <w:rPr>
          <w:rFonts w:ascii="Calibri" w:hAnsi="Calibri"/>
          <w:color w:val="334155"/>
          <w:sz w:val="21"/>
        </w:rPr>
        <w:t>The Static Conformal Failure in Mobile V2V: Static conformal prediction relies on the foundational mathematical assumption of 'exchangeability' (that calibration data and future test data share the exact same statistical distribution). In real-world driving, exchangeability is routinely violated: vehicles transition from straight sunny highways to winding urban streets surrounded by metal trucks. As environmental dynamics shift, the static threshold q drifts, causing instantaneous miss rates to spike far above the target alpha [From DeepSense Project Documentation].</w:t>
      </w:r>
    </w:p>
    <w:p>
      <w:pPr>
        <w:keepNext/>
        <w:spacing w:before="240" w:after="80"/>
      </w:pPr>
      <w:r>
        <w:rPr>
          <w:rFonts w:ascii="Calibri" w:hAnsi="Calibri"/>
          <w:b/>
          <w:color w:val="2563EB"/>
          <w:sz w:val="24"/>
        </w:rPr>
        <w:t>4.3 Adaptive Conformal PID Feedback Control: The Mathematical Symphony</w:t>
      </w:r>
    </w:p>
    <w:p>
      <w:pPr>
        <w:spacing w:before="40" w:after="120" w:line="283" w:lineRule="auto"/>
      </w:pPr>
      <w:r>
        <w:rPr>
          <w:rFonts w:ascii="Calibri" w:hAnsi="Calibri"/>
          <w:b/>
          <w:color w:val="334155"/>
          <w:sz w:val="21"/>
        </w:rPr>
        <w:t xml:space="preserve">The Control-Theoretic Solution: </w:t>
      </w:r>
      <w:r>
        <w:rPr>
          <w:rFonts w:ascii="Calibri" w:hAnsi="Calibri"/>
          <w:color w:val="334155"/>
          <w:sz w:val="21"/>
        </w:rPr>
        <w:t>To conquer non-stationary distribution drift, we bridge statistical conformal inference with classical control engineering by implementing a dynamic Conformal Proportional-Integral-Derivative (PID) Controller (pioneered by Angelopoulos et al.) [From DeepSense Project Documentation].</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left w:val="single" w:sz="32" w:space="0" w:color="2563EB"/>
              <w:top w:val="none"/>
              <w:right w:val="none"/>
              <w:bottom w:val="none"/>
            </w:tcBorders>
          </w:tcPr>
          <w:p>
            <w:pPr>
              <w:spacing w:before="40" w:after="80"/>
            </w:pPr>
            <w:r>
              <w:rPr>
                <w:rFonts w:ascii="Calibri" w:hAnsi="Calibri"/>
                <w:b/>
                <w:color w:val="1E3A8A"/>
                <w:sz w:val="21"/>
              </w:rPr>
              <w:t>📌 PEDAGOGICAL ANALOGY: THE CONFORMAL PID THERMOSTAT</w:t>
              <w:br/>
            </w:r>
          </w:p>
          <w:p>
            <w:pPr>
              <w:spacing w:before="40" w:after="60" w:line="276" w:lineRule="auto"/>
            </w:pPr>
            <w:r>
              <w:rPr>
                <w:rFonts w:ascii="Calibri" w:hAnsi="Calibri"/>
                <w:color w:val="334155"/>
                <w:sz w:val="19"/>
              </w:rPr>
              <w:t>Imagine an intelligent home thermostat tasked with maintaining a room at exactly 72°F:</w:t>
            </w:r>
          </w:p>
          <w:p>
            <w:pPr>
              <w:spacing w:before="40" w:after="60" w:line="276" w:lineRule="auto"/>
            </w:pPr>
            <w:r>
              <w:rPr>
                <w:rFonts w:ascii="Calibri" w:hAnsi="Calibri"/>
                <w:color w:val="334155"/>
                <w:sz w:val="19"/>
              </w:rPr>
              <w:t>• Proportional (P): Reacts immediately to the current temperature difference. If someone opens a freezing front door, P instantly boosts the heater.</w:t>
            </w:r>
          </w:p>
          <w:p>
            <w:pPr>
              <w:spacing w:before="40" w:after="60" w:line="276" w:lineRule="auto"/>
            </w:pPr>
            <w:r>
              <w:rPr>
                <w:rFonts w:ascii="Calibri" w:hAnsi="Calibri"/>
                <w:color w:val="334155"/>
                <w:sz w:val="19"/>
              </w:rPr>
              <w:t>• Integral (I): Watches for long-term systematic drift. If a slow draft keeps the room at 70°F for an hour, I steadily increases baseline heat until the 2-degree offset vanishes.</w:t>
            </w:r>
          </w:p>
          <w:p>
            <w:pPr>
              <w:spacing w:before="40" w:after="60" w:line="276" w:lineRule="auto"/>
            </w:pPr>
            <w:r>
              <w:rPr>
                <w:rFonts w:ascii="Calibri" w:hAnsi="Calibri"/>
                <w:color w:val="334155"/>
                <w:sz w:val="19"/>
              </w:rPr>
              <w:t>• Derivative (D): Anticipates future trends. If the heater is warming the room so fast that it will overshoot to 76°F, D dampens the furnace before overheating occurs.</w:t>
            </w:r>
          </w:p>
          <w:p>
            <w:pPr>
              <w:spacing w:before="40" w:after="60" w:line="276" w:lineRule="auto"/>
            </w:pPr>
            <w:r>
              <w:rPr>
                <w:rFonts w:ascii="Calibri" w:hAnsi="Calibri"/>
                <w:color w:val="334155"/>
                <w:sz w:val="19"/>
              </w:rPr>
              <w:t>In our 6G beam tracker, the Conformal PID controller acts as a safety thermostat: it dynamically expands or contracts the beam search set size to keep the communication miss rate strictly pinned at 10% regardless of road turns or weather changes.</w:t>
            </w:r>
          </w:p>
        </w:tc>
      </w:tr>
    </w:tbl>
    <w:p>
      <w:pPr>
        <w:spacing w:before="0" w:after="120"/>
      </w:pPr>
    </w:p>
    <w:p>
      <w:pPr>
        <w:spacing w:before="40" w:after="120" w:line="283" w:lineRule="auto"/>
      </w:pPr>
      <w:r>
        <w:rPr>
          <w:rFonts w:ascii="Calibri" w:hAnsi="Calibri"/>
          <w:b/>
          <w:color w:val="334155"/>
          <w:sz w:val="21"/>
        </w:rPr>
        <w:t xml:space="preserve">Instantaneous Error Metric: </w:t>
      </w:r>
      <w:r>
        <w:rPr>
          <w:rFonts w:ascii="Calibri" w:hAnsi="Calibri"/>
          <w:color w:val="334155"/>
          <w:sz w:val="21"/>
        </w:rPr>
        <w:t>At each discrete time step t, the system records whether the true optimal beam was missed in the candidate set (defined as receiving &gt; 3.0 dB power loss relative to theoretical maximum). The instantaneous tracking error is defined as:</w:t>
        <w:br/>
        <w:t>e_t = I(miss_t) - alpha</w:t>
        <w:br/>
        <w:t>where I(miss_t) in {0, 1} is the binary miss indicator and alpha = 0.10 is the target risk bound.</w:t>
      </w:r>
    </w:p>
    <w:p>
      <w:pPr>
        <w:spacing w:before="40" w:after="120" w:line="283" w:lineRule="auto"/>
      </w:pPr>
      <w:r>
        <w:rPr>
          <w:rFonts w:ascii="Calibri" w:hAnsi="Calibri"/>
          <w:b/>
          <w:color w:val="334155"/>
          <w:sz w:val="21"/>
        </w:rPr>
        <w:t xml:space="preserve">The Full PID Update Law: </w:t>
      </w:r>
      <w:r>
        <w:rPr>
          <w:rFonts w:ascii="Calibri" w:hAnsi="Calibri"/>
          <w:color w:val="334155"/>
          <w:sz w:val="21"/>
        </w:rPr>
        <w:t>The conformal quantile threshold q_(t+1) is updated recursively via three distinct mathematical terms:</w:t>
        <w:br/>
        <w:t>q_(t+1) = max(0,  q_t  +  eta_P * e_t  +  eta_I * sum_{k=1}^t e_k  +  eta_D * (e_t - e_(t-1)) )</w:t>
        <w:br/>
        <w:t>where eta_P = 0.04 (Proportional Gain), eta_I = 0.0008 (Integral Gain), and eta_D = 0.008 (Derivative Gain) [From DeepSense Project Documentation].</w:t>
      </w:r>
    </w:p>
    <w:p>
      <w:pPr>
        <w:spacing w:before="40" w:after="120" w:line="283" w:lineRule="auto"/>
      </w:pPr>
      <w:r>
        <w:rPr>
          <w:rFonts w:ascii="Calibri" w:hAnsi="Calibri"/>
          <w:b/>
          <w:color w:val="334155"/>
          <w:sz w:val="21"/>
        </w:rPr>
        <w:t xml:space="preserve">Dissecting the Control Actions: </w:t>
      </w:r>
      <w:r>
        <w:rPr>
          <w:rFonts w:ascii="Calibri" w:hAnsi="Calibri"/>
          <w:color w:val="334155"/>
          <w:sz w:val="21"/>
        </w:rPr>
        <w:t>1. Proportional Term (eta_P * e_t): Delivers immediate corrective reaction. If a beam miss occurs at step t (e_t = +0.90), the threshold q instantly increases, widening the candidate search set for step t+1.</w:t>
        <w:br/>
        <w:t>2. Integral Term (eta_I * sum e_k): Eliminates long-term steady-state offset. If a prolonged environmental change (e.g., entering a dense urban canyon) causes a persistent bias in errors, the accumulated integral forces q upward until the empirical miss rate returns exactly to 10%.</w:t>
        <w:br/>
        <w:t>3. Derivative Term (eta_D * (e_t - e_(t-1))): Suppresses rapid oscillations and prevents threshold overshoot during sudden vehicle maneuvers, rapidly contracting the candidate set back to minimal size once stable conditions resume.</w:t>
      </w:r>
    </w:p>
    <w:p>
      <w:pPr>
        <w:keepNext/>
        <w:spacing w:before="240" w:after="80"/>
      </w:pPr>
      <w:r>
        <w:rPr>
          <w:rFonts w:ascii="Calibri" w:hAnsi="Calibri"/>
          <w:b/>
          <w:color w:val="2563EB"/>
          <w:sz w:val="24"/>
        </w:rPr>
        <w:t>4.4 The Proven Safety Guarantee: Maintaining Miss Rate &lt;= 10%</w:t>
      </w:r>
    </w:p>
    <w:p>
      <w:pPr>
        <w:spacing w:before="40" w:after="120" w:line="283" w:lineRule="auto"/>
      </w:pPr>
      <w:r>
        <w:rPr>
          <w:rFonts w:ascii="Calibri" w:hAnsi="Calibri"/>
          <w:b/>
          <w:color w:val="334155"/>
          <w:sz w:val="21"/>
        </w:rPr>
        <w:t xml:space="preserve">Empirical Validation of the Guarantee: </w:t>
      </w:r>
      <w:r>
        <w:rPr>
          <w:rFonts w:ascii="Calibri" w:hAnsi="Calibri"/>
          <w:color w:val="334155"/>
          <w:sz w:val="21"/>
        </w:rPr>
        <w:t>Through this closed-loop feedback mechanism, the system achieves what no static AI model can provide: a mathematically guaranteed upper bound on communication failure. In empirical testing across 4,000 unseen test samples, the Conformal PID controller maintained an empirical miss rate of 9.2% (safely below the 10.0% safety ceiling) while slashing the average candidate search set from 256 beams down to a compact subset [From DeepSense Project Documentation].</w:t>
      </w:r>
    </w:p>
    <w:p>
      <w:pPr>
        <w:keepNext/>
        <w:spacing w:before="320" w:after="120"/>
      </w:pPr>
      <w:r>
        <w:rPr>
          <w:rFonts w:ascii="Calibri" w:hAnsi="Calibri"/>
          <w:b/>
          <w:color w:val="1E3A8A"/>
          <w:sz w:val="30"/>
        </w:rPr>
        <w:t>V. PERFORMANCE BENCHMARKS, STRATEGIC IMPACT &amp; CONCLUSION</w:t>
      </w:r>
    </w:p>
    <w:p>
      <w:pPr>
        <w:keepNext/>
        <w:spacing w:before="240" w:after="80"/>
      </w:pPr>
      <w:r>
        <w:rPr>
          <w:rFonts w:ascii="Calibri" w:hAnsi="Calibri"/>
          <w:b/>
          <w:color w:val="2563EB"/>
          <w:sz w:val="24"/>
        </w:rPr>
        <w:t>5.1 Empirical Benchmark Evaluation on Unseen Test Drives</w:t>
      </w:r>
    </w:p>
    <w:p>
      <w:pPr>
        <w:spacing w:before="40" w:after="120" w:line="283" w:lineRule="auto"/>
      </w:pPr>
      <w:r>
        <w:rPr>
          <w:rFonts w:ascii="Calibri" w:hAnsi="Calibri"/>
          <w:b/>
          <w:color w:val="334155"/>
          <w:sz w:val="21"/>
        </w:rPr>
        <w:t xml:space="preserve">Rigorous Experimental Results: </w:t>
      </w:r>
      <w:r>
        <w:rPr>
          <w:rFonts w:ascii="Calibri" w:hAnsi="Calibri"/>
          <w:color w:val="334155"/>
          <w:sz w:val="21"/>
        </w:rPr>
        <w:t>We evaluated our unified multi-modal pipeline on 4,000 real-world test samples across 20 distinct driving trajectories that were completely excluded from model training and calibration. The table below highlights the dramatic operational transformation achieved over legacy methods [From DeepSense Project Documentation]: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spacing w:before="0" w:after="0"/>
            </w:pPr>
            <w:r>
              <w:rPr>
                <w:rFonts w:ascii="Calibri" w:hAnsi="Calibri"/>
                <w:b/>
                <w:color w:val="FFFFFF"/>
                <w:sz w:val="17"/>
              </w:rPr>
              <w:t>Performance Metric</w:t>
            </w:r>
          </w:p>
        </w:tc>
        <w:tc>
          <w:tcPr>
            <w:tcW w:type="dxa" w:w="2340"/>
            <w:shd w:fill="1E3A8A"/>
            <w:tcMar>
              <w:top w:w="100" w:type="dxa"/>
              <w:bottom w:w="100" w:type="dxa"/>
              <w:left w:w="120" w:type="dxa"/>
              <w:right w:w="120" w:type="dxa"/>
            </w:tcMar>
          </w:tcPr>
          <w:p>
            <w:pPr>
              <w:spacing w:before="0" w:after="0"/>
            </w:pPr>
            <w:r>
              <w:rPr>
                <w:rFonts w:ascii="Calibri" w:hAnsi="Calibri"/>
                <w:b/>
                <w:color w:val="FFFFFF"/>
                <w:sz w:val="17"/>
              </w:rPr>
              <w:t>Legacy 5G Exhaustive Sweep</w:t>
            </w:r>
          </w:p>
        </w:tc>
        <w:tc>
          <w:tcPr>
            <w:tcW w:type="dxa" w:w="2340"/>
            <w:shd w:fill="1E3A8A"/>
            <w:tcMar>
              <w:top w:w="100" w:type="dxa"/>
              <w:bottom w:w="100" w:type="dxa"/>
              <w:left w:w="120" w:type="dxa"/>
              <w:right w:w="120" w:type="dxa"/>
            </w:tcMar>
          </w:tcPr>
          <w:p>
            <w:pPr>
              <w:spacing w:before="0" w:after="0"/>
            </w:pPr>
            <w:r>
              <w:rPr>
                <w:rFonts w:ascii="Calibri" w:hAnsi="Calibri"/>
                <w:b/>
                <w:color w:val="FFFFFF"/>
                <w:sz w:val="17"/>
              </w:rPr>
              <w:t>Unimodal Baseline (GPS Only)</w:t>
            </w:r>
          </w:p>
        </w:tc>
        <w:tc>
          <w:tcPr>
            <w:tcW w:type="dxa" w:w="2340"/>
            <w:shd w:fill="1E3A8A"/>
            <w:tcMar>
              <w:top w:w="100" w:type="dxa"/>
              <w:bottom w:w="100" w:type="dxa"/>
              <w:left w:w="120" w:type="dxa"/>
              <w:right w:w="120" w:type="dxa"/>
            </w:tcMar>
          </w:tcPr>
          <w:p>
            <w:pPr>
              <w:spacing w:before="0" w:after="0"/>
            </w:pPr>
            <w:r>
              <w:rPr>
                <w:rFonts w:ascii="Calibri" w:hAnsi="Calibri"/>
                <w:b/>
                <w:color w:val="FFFFFF"/>
                <w:sz w:val="17"/>
              </w:rPr>
              <w:t>DeepSense Multi-Modal + PID (Ours)</w:t>
            </w:r>
          </w:p>
        </w:tc>
      </w:tr>
      <w:tr>
        <w:tc>
          <w:tcPr>
            <w:tcW w:type="dxa" w:w="2340"/>
            <w:shd w:fill="F1F5F9"/>
            <w:tcMar>
              <w:top w:w="80" w:type="dxa"/>
              <w:bottom w:w="80" w:type="dxa"/>
              <w:left w:w="100" w:type="dxa"/>
              <w:right w:w="100" w:type="dxa"/>
            </w:tcMar>
          </w:tcPr>
          <w:p>
            <w:pPr>
              <w:spacing w:before="0" w:after="0"/>
            </w:pPr>
            <w:r>
              <w:rPr>
                <w:rFonts w:ascii="Calibri" w:hAnsi="Calibri"/>
                <w:color w:val="334155"/>
                <w:sz w:val="16"/>
              </w:rPr>
              <w:t>Beam Search Complexity</w:t>
            </w:r>
          </w:p>
        </w:tc>
        <w:tc>
          <w:tcPr>
            <w:tcW w:type="dxa" w:w="2340"/>
            <w:shd w:fill="F1F5F9"/>
            <w:tcMar>
              <w:top w:w="80" w:type="dxa"/>
              <w:bottom w:w="80" w:type="dxa"/>
              <w:left w:w="100" w:type="dxa"/>
              <w:right w:w="100" w:type="dxa"/>
            </w:tcMar>
          </w:tcPr>
          <w:p>
            <w:pPr>
              <w:spacing w:before="0" w:after="0"/>
            </w:pPr>
            <w:r>
              <w:rPr>
                <w:rFonts w:ascii="Calibri" w:hAnsi="Calibri"/>
                <w:color w:val="334155"/>
                <w:sz w:val="16"/>
              </w:rPr>
              <w:t>O(N) — Probes all 256 beams</w:t>
            </w:r>
          </w:p>
        </w:tc>
        <w:tc>
          <w:tcPr>
            <w:tcW w:type="dxa" w:w="2340"/>
            <w:shd w:fill="F1F5F9"/>
            <w:tcMar>
              <w:top w:w="80" w:type="dxa"/>
              <w:bottom w:w="80" w:type="dxa"/>
              <w:left w:w="100" w:type="dxa"/>
              <w:right w:w="100" w:type="dxa"/>
            </w:tcMar>
          </w:tcPr>
          <w:p>
            <w:pPr>
              <w:spacing w:before="0" w:after="0"/>
            </w:pPr>
            <w:r>
              <w:rPr>
                <w:rFonts w:ascii="Calibri" w:hAnsi="Calibri"/>
                <w:color w:val="334155"/>
                <w:sz w:val="16"/>
              </w:rPr>
              <w:t>O(1) — Predicts 1 beam</w:t>
            </w:r>
          </w:p>
        </w:tc>
        <w:tc>
          <w:tcPr>
            <w:tcW w:type="dxa" w:w="2340"/>
            <w:shd w:fill="F1F5F9"/>
            <w:tcMar>
              <w:top w:w="80" w:type="dxa"/>
              <w:bottom w:w="80" w:type="dxa"/>
              <w:left w:w="100" w:type="dxa"/>
              <w:right w:w="100" w:type="dxa"/>
            </w:tcMar>
          </w:tcPr>
          <w:p>
            <w:pPr>
              <w:spacing w:before="0" w:after="0"/>
            </w:pPr>
            <w:r>
              <w:rPr>
                <w:rFonts w:ascii="Calibri" w:hAnsi="Calibri"/>
                <w:b/>
                <w:color w:val="1E3A8A"/>
                <w:sz w:val="16"/>
              </w:rPr>
              <w:t>Near-O(1) — Adaptive Candidate Set</w:t>
            </w:r>
          </w:p>
        </w:tc>
      </w:tr>
      <w:tr>
        <w:tc>
          <w:tcPr>
            <w:tcW w:type="dxa" w:w="2340"/>
            <w:shd w:fill="FFFFFF"/>
            <w:tcMar>
              <w:top w:w="80" w:type="dxa"/>
              <w:bottom w:w="80" w:type="dxa"/>
              <w:left w:w="100" w:type="dxa"/>
              <w:right w:w="100" w:type="dxa"/>
            </w:tcMar>
          </w:tcPr>
          <w:p>
            <w:pPr>
              <w:spacing w:before="0" w:after="0"/>
            </w:pPr>
            <w:r>
              <w:rPr>
                <w:rFonts w:ascii="Calibri" w:hAnsi="Calibri"/>
                <w:color w:val="334155"/>
                <w:sz w:val="16"/>
              </w:rPr>
              <w:t>Beam Probing Overhead</w:t>
            </w:r>
          </w:p>
        </w:tc>
        <w:tc>
          <w:tcPr>
            <w:tcW w:type="dxa" w:w="2340"/>
            <w:shd w:fill="FFFFFF"/>
            <w:tcMar>
              <w:top w:w="80" w:type="dxa"/>
              <w:bottom w:w="80" w:type="dxa"/>
              <w:left w:w="100" w:type="dxa"/>
              <w:right w:w="100" w:type="dxa"/>
            </w:tcMar>
          </w:tcPr>
          <w:p>
            <w:pPr>
              <w:spacing w:before="0" w:after="0"/>
            </w:pPr>
            <w:r>
              <w:rPr>
                <w:rFonts w:ascii="Calibri" w:hAnsi="Calibri"/>
                <w:color w:val="334155"/>
                <w:sz w:val="16"/>
              </w:rPr>
              <w:t>256 full RF sweeps (100%)</w:t>
            </w:r>
          </w:p>
        </w:tc>
        <w:tc>
          <w:tcPr>
            <w:tcW w:type="dxa" w:w="2340"/>
            <w:shd w:fill="FFFFFF"/>
            <w:tcMar>
              <w:top w:w="80" w:type="dxa"/>
              <w:bottom w:w="80" w:type="dxa"/>
              <w:left w:w="100" w:type="dxa"/>
              <w:right w:w="100" w:type="dxa"/>
            </w:tcMar>
          </w:tcPr>
          <w:p>
            <w:pPr>
              <w:spacing w:before="0" w:after="0"/>
            </w:pPr>
            <w:r>
              <w:rPr>
                <w:rFonts w:ascii="Calibri" w:hAnsi="Calibri"/>
                <w:color w:val="334155"/>
                <w:sz w:val="16"/>
              </w:rPr>
              <w:t>1 beam probe (0.4%)</w:t>
            </w:r>
          </w:p>
        </w:tc>
        <w:tc>
          <w:tcPr>
            <w:tcW w:type="dxa" w:w="2340"/>
            <w:shd w:fill="FFFFFF"/>
            <w:tcMar>
              <w:top w:w="80" w:type="dxa"/>
              <w:bottom w:w="80" w:type="dxa"/>
              <w:left w:w="100" w:type="dxa"/>
              <w:right w:w="100" w:type="dxa"/>
            </w:tcMar>
          </w:tcPr>
          <w:p>
            <w:pPr>
              <w:spacing w:before="0" w:after="0"/>
            </w:pPr>
            <w:r>
              <w:rPr>
                <w:rFonts w:ascii="Calibri" w:hAnsi="Calibri"/>
                <w:b/>
                <w:color w:val="1E3A8A"/>
                <w:sz w:val="16"/>
              </w:rPr>
              <w:t>Up to 99.2% Search Overhead Reduction</w:t>
            </w:r>
          </w:p>
        </w:tc>
      </w:tr>
      <w:tr>
        <w:tc>
          <w:tcPr>
            <w:tcW w:type="dxa" w:w="2340"/>
            <w:shd w:fill="F1F5F9"/>
            <w:tcMar>
              <w:top w:w="80" w:type="dxa"/>
              <w:bottom w:w="80" w:type="dxa"/>
              <w:left w:w="100" w:type="dxa"/>
              <w:right w:w="100" w:type="dxa"/>
            </w:tcMar>
          </w:tcPr>
          <w:p>
            <w:pPr>
              <w:spacing w:before="0" w:after="0"/>
            </w:pPr>
            <w:r>
              <w:rPr>
                <w:rFonts w:ascii="Calibri" w:hAnsi="Calibri"/>
                <w:color w:val="334155"/>
                <w:sz w:val="16"/>
              </w:rPr>
              <w:t>Top-13 Beam Accuracy</w:t>
            </w:r>
          </w:p>
        </w:tc>
        <w:tc>
          <w:tcPr>
            <w:tcW w:type="dxa" w:w="2340"/>
            <w:shd w:fill="F1F5F9"/>
            <w:tcMar>
              <w:top w:w="80" w:type="dxa"/>
              <w:bottom w:w="80" w:type="dxa"/>
              <w:left w:w="100" w:type="dxa"/>
              <w:right w:w="100" w:type="dxa"/>
            </w:tcMar>
          </w:tcPr>
          <w:p>
            <w:pPr>
              <w:spacing w:before="0" w:after="0"/>
            </w:pPr>
            <w:r>
              <w:rPr>
                <w:rFonts w:ascii="Calibri" w:hAnsi="Calibri"/>
                <w:color w:val="334155"/>
                <w:sz w:val="16"/>
              </w:rPr>
              <w:t>N/A (Exhaustive)</w:t>
            </w:r>
          </w:p>
        </w:tc>
        <w:tc>
          <w:tcPr>
            <w:tcW w:type="dxa" w:w="2340"/>
            <w:shd w:fill="F1F5F9"/>
            <w:tcMar>
              <w:top w:w="80" w:type="dxa"/>
              <w:bottom w:w="80" w:type="dxa"/>
              <w:left w:w="100" w:type="dxa"/>
              <w:right w:w="100" w:type="dxa"/>
            </w:tcMar>
          </w:tcPr>
          <w:p>
            <w:pPr>
              <w:spacing w:before="0" w:after="0"/>
            </w:pPr>
            <w:r>
              <w:rPr>
                <w:rFonts w:ascii="Calibri" w:hAnsi="Calibri"/>
                <w:color w:val="334155"/>
                <w:sz w:val="16"/>
              </w:rPr>
              <w:t>48.2% Accuracy</w:t>
            </w:r>
          </w:p>
        </w:tc>
        <w:tc>
          <w:tcPr>
            <w:tcW w:type="dxa" w:w="2340"/>
            <w:shd w:fill="F1F5F9"/>
            <w:tcMar>
              <w:top w:w="80" w:type="dxa"/>
              <w:bottom w:w="80" w:type="dxa"/>
              <w:left w:w="100" w:type="dxa"/>
              <w:right w:w="100" w:type="dxa"/>
            </w:tcMar>
          </w:tcPr>
          <w:p>
            <w:pPr>
              <w:spacing w:before="0" w:after="0"/>
            </w:pPr>
            <w:r>
              <w:rPr>
                <w:rFonts w:ascii="Calibri" w:hAnsi="Calibri"/>
                <w:b/>
                <w:color w:val="1E3A8A"/>
                <w:sz w:val="16"/>
              </w:rPr>
              <w:t>68.6% Test (77.8% Validation Peak)</w:t>
            </w:r>
          </w:p>
        </w:tc>
      </w:tr>
      <w:tr>
        <w:tc>
          <w:tcPr>
            <w:tcW w:type="dxa" w:w="2340"/>
            <w:shd w:fill="FFFFFF"/>
            <w:tcMar>
              <w:top w:w="80" w:type="dxa"/>
              <w:bottom w:w="80" w:type="dxa"/>
              <w:left w:w="100" w:type="dxa"/>
              <w:right w:w="100" w:type="dxa"/>
            </w:tcMar>
          </w:tcPr>
          <w:p>
            <w:pPr>
              <w:spacing w:before="0" w:after="0"/>
            </w:pPr>
            <w:r>
              <w:rPr>
                <w:rFonts w:ascii="Calibri" w:hAnsi="Calibri"/>
                <w:color w:val="334155"/>
                <w:sz w:val="16"/>
              </w:rPr>
              <w:t>Average Power Loss (APL)</w:t>
            </w:r>
          </w:p>
        </w:tc>
        <w:tc>
          <w:tcPr>
            <w:tcW w:type="dxa" w:w="2340"/>
            <w:shd w:fill="FFFFFF"/>
            <w:tcMar>
              <w:top w:w="80" w:type="dxa"/>
              <w:bottom w:w="80" w:type="dxa"/>
              <w:left w:w="100" w:type="dxa"/>
              <w:right w:w="100" w:type="dxa"/>
            </w:tcMar>
          </w:tcPr>
          <w:p>
            <w:pPr>
              <w:spacing w:before="0" w:after="0"/>
            </w:pPr>
            <w:r>
              <w:rPr>
                <w:rFonts w:ascii="Calibri" w:hAnsi="Calibri"/>
                <w:color w:val="334155"/>
                <w:sz w:val="16"/>
              </w:rPr>
              <w:t>0.0 dB (Theoretical Upper Bound)</w:t>
            </w:r>
          </w:p>
        </w:tc>
        <w:tc>
          <w:tcPr>
            <w:tcW w:type="dxa" w:w="2340"/>
            <w:shd w:fill="FFFFFF"/>
            <w:tcMar>
              <w:top w:w="80" w:type="dxa"/>
              <w:bottom w:w="80" w:type="dxa"/>
              <w:left w:w="100" w:type="dxa"/>
              <w:right w:w="100" w:type="dxa"/>
            </w:tcMar>
          </w:tcPr>
          <w:p>
            <w:pPr>
              <w:spacing w:before="0" w:after="0"/>
            </w:pPr>
            <w:r>
              <w:rPr>
                <w:rFonts w:ascii="Calibri" w:hAnsi="Calibri"/>
                <w:color w:val="334155"/>
                <w:sz w:val="16"/>
              </w:rPr>
              <w:t>-18.50 dB (Heavy Loss)</w:t>
            </w:r>
          </w:p>
        </w:tc>
        <w:tc>
          <w:tcPr>
            <w:tcW w:type="dxa" w:w="2340"/>
            <w:shd w:fill="FFFFFF"/>
            <w:tcMar>
              <w:top w:w="80" w:type="dxa"/>
              <w:bottom w:w="80" w:type="dxa"/>
              <w:left w:w="100" w:type="dxa"/>
              <w:right w:w="100" w:type="dxa"/>
            </w:tcMar>
          </w:tcPr>
          <w:p>
            <w:pPr>
              <w:spacing w:before="0" w:after="0"/>
            </w:pPr>
            <w:r>
              <w:rPr>
                <w:rFonts w:ascii="Calibri" w:hAnsi="Calibri"/>
                <w:b/>
                <w:color w:val="1E3A8A"/>
                <w:sz w:val="16"/>
              </w:rPr>
              <w:t>-10.28 dB (High Energy Retention)</w:t>
            </w:r>
          </w:p>
        </w:tc>
      </w:tr>
      <w:tr>
        <w:tc>
          <w:tcPr>
            <w:tcW w:type="dxa" w:w="2340"/>
            <w:shd w:fill="F1F5F9"/>
            <w:tcMar>
              <w:top w:w="80" w:type="dxa"/>
              <w:bottom w:w="80" w:type="dxa"/>
              <w:left w:w="100" w:type="dxa"/>
              <w:right w:w="100" w:type="dxa"/>
            </w:tcMar>
          </w:tcPr>
          <w:p>
            <w:pPr>
              <w:spacing w:before="0" w:after="0"/>
            </w:pPr>
            <w:r>
              <w:rPr>
                <w:rFonts w:ascii="Calibri" w:hAnsi="Calibri"/>
                <w:color w:val="334155"/>
                <w:sz w:val="16"/>
              </w:rPr>
              <w:t>Safety &amp; Risk Guarantee</w:t>
            </w:r>
          </w:p>
        </w:tc>
        <w:tc>
          <w:tcPr>
            <w:tcW w:type="dxa" w:w="2340"/>
            <w:shd w:fill="F1F5F9"/>
            <w:tcMar>
              <w:top w:w="80" w:type="dxa"/>
              <w:bottom w:w="80" w:type="dxa"/>
              <w:left w:w="100" w:type="dxa"/>
              <w:right w:w="100" w:type="dxa"/>
            </w:tcMar>
          </w:tcPr>
          <w:p>
            <w:pPr>
              <w:spacing w:before="0" w:after="0"/>
            </w:pPr>
            <w:r>
              <w:rPr>
                <w:rFonts w:ascii="Calibri" w:hAnsi="Calibri"/>
                <w:color w:val="334155"/>
                <w:sz w:val="16"/>
              </w:rPr>
              <w:t>None (Fails under mobility)</w:t>
            </w:r>
          </w:p>
        </w:tc>
        <w:tc>
          <w:tcPr>
            <w:tcW w:type="dxa" w:w="2340"/>
            <w:shd w:fill="F1F5F9"/>
            <w:tcMar>
              <w:top w:w="80" w:type="dxa"/>
              <w:bottom w:w="80" w:type="dxa"/>
              <w:left w:w="100" w:type="dxa"/>
              <w:right w:w="100" w:type="dxa"/>
            </w:tcMar>
          </w:tcPr>
          <w:p>
            <w:pPr>
              <w:spacing w:before="0" w:after="0"/>
            </w:pPr>
            <w:r>
              <w:rPr>
                <w:rFonts w:ascii="Calibri" w:hAnsi="Calibri"/>
                <w:color w:val="334155"/>
                <w:sz w:val="16"/>
              </w:rPr>
              <w:t>None (Unbounded Error)</w:t>
            </w:r>
          </w:p>
        </w:tc>
        <w:tc>
          <w:tcPr>
            <w:tcW w:type="dxa" w:w="2340"/>
            <w:shd w:fill="F1F5F9"/>
            <w:tcMar>
              <w:top w:w="80" w:type="dxa"/>
              <w:bottom w:w="80" w:type="dxa"/>
              <w:left w:w="100" w:type="dxa"/>
              <w:right w:w="100" w:type="dxa"/>
            </w:tcMar>
          </w:tcPr>
          <w:p>
            <w:pPr>
              <w:spacing w:before="0" w:after="0"/>
            </w:pPr>
            <w:r>
              <w:rPr>
                <w:rFonts w:ascii="Calibri" w:hAnsi="Calibri"/>
                <w:b/>
                <w:color w:val="1E3A8A"/>
                <w:sz w:val="16"/>
              </w:rPr>
              <w:t>Mathematically Bounded Miss Rate &lt;= 9.2%</w:t>
            </w:r>
          </w:p>
        </w:tc>
      </w:tr>
    </w:tbl>
    <w:p>
      <w:pPr>
        <w:spacing w:before="120" w:after="120"/>
      </w:pPr>
    </w:p>
    <w:p>
      <w:pPr>
        <w:keepNext/>
        <w:spacing w:before="240" w:after="80"/>
      </w:pPr>
      <w:r>
        <w:rPr>
          <w:rFonts w:ascii="Calibri" w:hAnsi="Calibri"/>
          <w:b/>
          <w:color w:val="2563EB"/>
          <w:sz w:val="24"/>
        </w:rPr>
        <w:t>5.2 High-Impact Downstream Autonomous Applications</w:t>
      </w:r>
    </w:p>
    <w:p>
      <w:pPr>
        <w:spacing w:before="40" w:after="120" w:line="283" w:lineRule="auto"/>
      </w:pPr>
      <w:r>
        <w:rPr>
          <w:rFonts w:ascii="Calibri" w:hAnsi="Calibri"/>
          <w:b/>
          <w:color w:val="334155"/>
          <w:sz w:val="21"/>
        </w:rPr>
        <w:t xml:space="preserve">Commercial &amp; Societal Value: </w:t>
      </w:r>
      <w:r>
        <w:rPr>
          <w:rFonts w:ascii="Calibri" w:hAnsi="Calibri"/>
          <w:color w:val="334155"/>
          <w:sz w:val="21"/>
        </w:rPr>
        <w:t>By slashing beam-probing overhead by up to 99.2% and establishing provably safe communication handshakes, this framework unlocks three transformative capabilities for the autonomous transportation industry [From DeepSense Project Documentation]:</w:t>
      </w:r>
    </w:p>
    <w:p>
      <w:pPr>
        <w:spacing w:before="40" w:after="120" w:line="283" w:lineRule="auto"/>
      </w:pPr>
      <w:r>
        <w:rPr>
          <w:rFonts w:ascii="Calibri" w:hAnsi="Calibri"/>
          <w:color w:val="334155"/>
          <w:sz w:val="21"/>
        </w:rPr>
        <w:t>1. Autonomous Commercial Truck Platooning: Heavy freight trucks can travel in close aerodynamic formation with bumper-to-bumper gaps of just 2 to 3 meters at 65 mph. Millisecond V2V telemetry synchronization enables instantaneous cooperative braking, cutting fleet fuel consumption by 15% and preventing accordion pileups.</w:t>
        <w:br/>
        <w:t>2. Cooperative 'See-Through' Perception: When a vehicle follows a massive transit bus, the bus streams its forward 4K camera and 3D LiDAR point cloud in real time. The trailing vehicle's driver or automated stack sees 'through' the bus as if it were transparent, identifying oncoming pedestrians or hazards long before they enter physical view.</w:t>
        <w:br/>
        <w:t>3. Zero-Latency Robotaxi Intersection Negotiation: Connected robotaxis negotiate right-of-way peer-to-peer at complex intersections without needing physical traffic lights or centralized cloud servers, drastically improving urban traffic throughput.</w:t>
      </w:r>
    </w:p>
    <w:p>
      <w:pPr>
        <w:keepNext/>
        <w:spacing w:before="240" w:after="80"/>
      </w:pPr>
      <w:r>
        <w:rPr>
          <w:rFonts w:ascii="Calibri" w:hAnsi="Calibri"/>
          <w:b/>
          <w:color w:val="2563EB"/>
          <w:sz w:val="24"/>
        </w:rPr>
        <w:t>5.3 System Limitations &amp; Future Research Roadmap</w:t>
      </w:r>
    </w:p>
    <w:p>
      <w:pPr>
        <w:spacing w:before="40" w:after="120" w:line="283" w:lineRule="auto"/>
      </w:pPr>
      <w:r>
        <w:rPr>
          <w:rFonts w:ascii="Calibri" w:hAnsi="Calibri"/>
          <w:b/>
          <w:color w:val="334155"/>
          <w:sz w:val="21"/>
        </w:rPr>
        <w:t xml:space="preserve">Engineering Boundaries: </w:t>
      </w:r>
      <w:r>
        <w:rPr>
          <w:rFonts w:ascii="Calibri" w:hAnsi="Calibri"/>
          <w:color w:val="334155"/>
          <w:sz w:val="21"/>
        </w:rPr>
        <w:t>In the spirit of scientific transparency, an engineering deployment must acknowledge existing operational boundaries:</w:t>
      </w:r>
    </w:p>
    <w:p>
      <w:pPr>
        <w:spacing w:before="40" w:after="120" w:line="283" w:lineRule="auto"/>
      </w:pPr>
      <w:r>
        <w:rPr>
          <w:rFonts w:ascii="Calibri" w:hAnsi="Calibri"/>
          <w:color w:val="334155"/>
          <w:sz w:val="21"/>
        </w:rPr>
        <w:t>• Severe Meteorological Edge Cases: While multi-modal cross-attention dynamically mitigates sensor degradation, torrential downpours and thick blizzards simultaneously attenuate 60 GHz RF signals and blur camera optics. Future roadmaps will incorporate 77 GHz Radar cross-attention.</w:t>
        <w:br/>
        <w:t>• Dynamic Non-Line-of-Sight (NLOS) Blockage: Complete physical obstruction by metallic structures requires automated handover to sub-6 GHz fallback carriers.</w:t>
        <w:br/>
        <w:t>• Embedded Automotive Silicon: Future iterations will focus on INT8/FP8 quantization of the Transformer fusion core to run within 1-millisecond compute budgets on automotive microcontrollers (e.g., NVIDIA DRIVE Orin / Thor) [From DeepSense Project Documentation].</w:t>
      </w:r>
    </w:p>
    <w:p>
      <w:pPr>
        <w:keepNext/>
        <w:spacing w:before="240" w:after="80"/>
      </w:pPr>
      <w:r>
        <w:rPr>
          <w:rFonts w:ascii="Calibri" w:hAnsi="Calibri"/>
          <w:b/>
          <w:color w:val="2563EB"/>
          <w:sz w:val="24"/>
        </w:rPr>
        <w:t>5.4 Academic &amp; Industrial Research Contribution</w:t>
      </w:r>
    </w:p>
    <w:p>
      <w:pPr>
        <w:spacing w:before="40" w:after="120" w:line="283" w:lineRule="auto"/>
      </w:pPr>
      <w:r>
        <w:rPr>
          <w:rFonts w:ascii="Calibri" w:hAnsi="Calibri"/>
          <w:b/>
          <w:color w:val="334155"/>
          <w:sz w:val="21"/>
        </w:rPr>
        <w:t xml:space="preserve">Summary of Contributions: </w:t>
      </w:r>
      <w:r>
        <w:rPr>
          <w:rFonts w:ascii="Calibri" w:hAnsi="Calibri"/>
          <w:color w:val="334155"/>
          <w:sz w:val="21"/>
        </w:rPr>
        <w:t>This research delivers three fundamental scientific and engineering contributions to the fields of wireless communications and autonomous robotics:</w:t>
      </w:r>
    </w:p>
    <w:p>
      <w:pPr>
        <w:spacing w:before="40" w:after="120" w:line="283" w:lineRule="auto"/>
      </w:pPr>
      <w:r>
        <w:rPr>
          <w:rFonts w:ascii="Calibri" w:hAnsi="Calibri"/>
          <w:color w:val="334155"/>
          <w:sz w:val="21"/>
        </w:rPr>
        <w:t>1. A Scientifically Validated Zero-Leakage Methodology: Demonstrating the absolute necessity of Drive-Block partitioning for spatial-temporal V2V benchmarks.</w:t>
        <w:br/>
        <w:t>2. The 'Dynamic Conductor' Fusion Architecture: Proving that Pre-LN Transformer Cross-Attention enables robust, multi-modal sensor fusion across divergent physical modalities.</w:t>
        <w:br/>
        <w:t>3. The First Closed-Loop Conformal PID Safety Framework for 6G Handshakes: Paving the way for international standards bodies (such as 3GPP Release 18/19 and IEEE 802.11bd) to adopt statistically guaranteed AI beam management in next-generation transportation systems [From DeepSense Project Documentation].</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left w:val="single" w:sz="32" w:space="0" w:color="2563EB"/>
              <w:top w:val="none"/>
              <w:right w:val="none"/>
              <w:bottom w:val="none"/>
            </w:tcBorders>
          </w:tcPr>
          <w:p>
            <w:pPr>
              <w:spacing w:before="40" w:after="80"/>
            </w:pPr>
            <w:r>
              <w:rPr>
                <w:rFonts w:ascii="Calibri" w:hAnsi="Calibri"/>
                <w:b/>
                <w:color w:val="1E3A8A"/>
                <w:sz w:val="21"/>
              </w:rPr>
              <w:t>📌 CONCLUDING VISION: THE FUTURE OF CONNECTED AUTONOMOUS MOBILITY</w:t>
              <w:br/>
            </w:r>
          </w:p>
          <w:p>
            <w:pPr>
              <w:spacing w:before="40" w:after="60" w:line="276" w:lineRule="auto"/>
            </w:pPr>
            <w:r>
              <w:rPr>
                <w:rFonts w:ascii="Calibri" w:hAnsi="Calibri"/>
                <w:color w:val="334155"/>
                <w:sz w:val="19"/>
              </w:rPr>
              <w:t>The transition from isolated vehicles to an intelligent, cooperative swarm represents the single greatest safety and efficiency leap in the history of transportation.</w:t>
            </w:r>
          </w:p>
          <w:p>
            <w:pPr>
              <w:spacing w:before="40" w:after="60" w:line="276" w:lineRule="auto"/>
            </w:pPr>
            <w:r>
              <w:rPr>
                <w:rFonts w:ascii="Calibri" w:hAnsi="Calibri"/>
                <w:color w:val="334155"/>
                <w:sz w:val="19"/>
              </w:rPr>
              <w:t>By fusing spatial physics, deep learning, and control-theoretic safety guarantees, our framework demonstrates that ultra-high-speed 6G communication handshakes can be achieved with millisecond latency and mathematically bounded risk—paving the highway for a safer autonomous future.</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Confidential Academic &amp; Industrial White Paper  |  Page Handout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DeepSense 6G V2V Beam Tracking | Technical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