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BA7" w:rsidRDefault="0019330E" w:rsidP="00050728">
      <w:pPr>
        <w:spacing w:line="240" w:lineRule="auto"/>
        <w:jc w:val="center"/>
        <w:rPr>
          <w:b/>
        </w:rPr>
      </w:pPr>
      <w:r w:rsidRPr="0019330E">
        <w:rPr>
          <w:b/>
        </w:rPr>
        <w:t>CDA-5106 Project Phase 2</w:t>
      </w:r>
    </w:p>
    <w:p w:rsidR="0019330E" w:rsidRDefault="0019330E" w:rsidP="00050728">
      <w:pPr>
        <w:spacing w:line="240" w:lineRule="auto"/>
        <w:rPr>
          <w:b/>
        </w:rPr>
      </w:pPr>
      <w:r w:rsidRPr="0019330E">
        <w:rPr>
          <w:b/>
        </w:rPr>
        <w:t>Parsec benchmark to run:</w:t>
      </w:r>
      <w:r>
        <w:t xml:space="preserve"> </w:t>
      </w:r>
      <w:proofErr w:type="spellStart"/>
      <w:r>
        <w:rPr>
          <w:b/>
        </w:rPr>
        <w:t>Freqmine</w:t>
      </w:r>
      <w:proofErr w:type="spellEnd"/>
    </w:p>
    <w:p w:rsidR="00184BF9" w:rsidRPr="00184BF9" w:rsidRDefault="00184BF9" w:rsidP="00050728">
      <w:pPr>
        <w:spacing w:line="240" w:lineRule="auto"/>
      </w:pPr>
      <w:r>
        <w:t xml:space="preserve">The </w:t>
      </w:r>
      <w:proofErr w:type="spellStart"/>
      <w:r>
        <w:t>Freqmine</w:t>
      </w:r>
      <w:proofErr w:type="spellEnd"/>
      <w:r>
        <w:t xml:space="preserve"> benchmark employs a data mining algorithm Frequent </w:t>
      </w:r>
      <w:proofErr w:type="spellStart"/>
      <w:r>
        <w:t>Itemset</w:t>
      </w:r>
      <w:proofErr w:type="spellEnd"/>
      <w:r>
        <w:t xml:space="preserve"> Mining which is relev</w:t>
      </w:r>
      <w:r w:rsidR="009810A6">
        <w:t>a</w:t>
      </w:r>
      <w:r>
        <w:t>nt for areas such as protein sequencing and market data [1]. It employs an array based version of the FP-growth problem [2]</w:t>
      </w:r>
      <w:r w:rsidR="009810A6">
        <w:t>. The problem is relevant in the current context of the industry because of the increasing demand for data mining techniques and subsequent optimizations.</w:t>
      </w:r>
      <w:r w:rsidR="00A57403">
        <w:t xml:space="preserve"> </w:t>
      </w:r>
      <w:proofErr w:type="spellStart"/>
      <w:r w:rsidR="00A57403">
        <w:t>Freqmine</w:t>
      </w:r>
      <w:proofErr w:type="spellEnd"/>
      <w:r w:rsidR="00A57403">
        <w:t xml:space="preserve"> solves the problem primarily by constructing an FP-tree and which can be very large. </w:t>
      </w:r>
      <w:proofErr w:type="spellStart"/>
      <w:r w:rsidR="00A57403">
        <w:t>Freqmine</w:t>
      </w:r>
      <w:proofErr w:type="spellEnd"/>
      <w:r w:rsidR="00A57403">
        <w:t xml:space="preserve"> then recursively traverses the tree to construct new FP-trees which makes the computation memory intensive.</w:t>
      </w:r>
      <w:r w:rsidR="006B1192">
        <w:t xml:space="preserve"> Hence, </w:t>
      </w:r>
      <w:proofErr w:type="spellStart"/>
      <w:r w:rsidR="006B1192">
        <w:t>Freqmine</w:t>
      </w:r>
      <w:proofErr w:type="spellEnd"/>
      <w:r w:rsidR="006B1192">
        <w:t xml:space="preserve"> presents a good benchmark to test possible optimizations, changes and extensions to the memory model of the CPU.</w:t>
      </w:r>
    </w:p>
    <w:p w:rsidR="0019330E" w:rsidRPr="0019330E" w:rsidRDefault="0019330E" w:rsidP="00050728">
      <w:pPr>
        <w:spacing w:line="240" w:lineRule="auto"/>
        <w:rPr>
          <w:b/>
        </w:rPr>
      </w:pPr>
      <w:r w:rsidRPr="0019330E">
        <w:rPr>
          <w:b/>
        </w:rPr>
        <w:t>Components to investigate:</w:t>
      </w:r>
      <w:bookmarkStart w:id="0" w:name="_GoBack"/>
      <w:bookmarkEnd w:id="0"/>
    </w:p>
    <w:p w:rsidR="00005A50" w:rsidRDefault="00005A50" w:rsidP="00050728">
      <w:pPr>
        <w:pStyle w:val="ListParagraph"/>
        <w:numPr>
          <w:ilvl w:val="0"/>
          <w:numId w:val="1"/>
        </w:numPr>
        <w:spacing w:line="240" w:lineRule="auto"/>
      </w:pPr>
      <w:r>
        <w:t>Size of DTLB:</w:t>
      </w:r>
    </w:p>
    <w:p w:rsidR="00CE7DFF" w:rsidRDefault="00F34490" w:rsidP="00050728">
      <w:pPr>
        <w:pStyle w:val="ListParagraph"/>
        <w:spacing w:line="240" w:lineRule="auto"/>
        <w:ind w:left="1080"/>
      </w:pPr>
      <w:r>
        <w:t xml:space="preserve">Due to the inner workings of </w:t>
      </w:r>
      <w:proofErr w:type="spellStart"/>
      <w:r>
        <w:t>Freqmine</w:t>
      </w:r>
      <w:proofErr w:type="spellEnd"/>
      <w:r>
        <w:t xml:space="preserve"> over large transactional data, the size of the data translation look aside buffer (DTLB), affects the overall computation. If the DTLB is large enough, then more data can be cached in it leveraging the temporal spatiality available here. This reduces the latency suffered by the processor since it does not need to repeatedly transla</w:t>
      </w:r>
      <w:r w:rsidR="004423BE">
        <w:t>te the addresses of data blocks thus reducing the time it takes to retrieve data from memory.</w:t>
      </w:r>
    </w:p>
    <w:p w:rsidR="00CE3412" w:rsidRDefault="00CE3412" w:rsidP="00050728">
      <w:pPr>
        <w:spacing w:line="240" w:lineRule="auto"/>
        <w:ind w:left="1080"/>
      </w:pPr>
      <w:r>
        <w:t xml:space="preserve">In order to reduce the number of cache misses incurred by the DTLB, data should span a number of pages that is less than the number of DTLB entries. In that case, all of the data </w:t>
      </w:r>
      <w:proofErr w:type="gramStart"/>
      <w:r>
        <w:t>will</w:t>
      </w:r>
      <w:proofErr w:type="gramEnd"/>
      <w:r>
        <w:t xml:space="preserve"> be cached and no misses will be incurred. In practice, this is not feasible since the data can be much larger and it is not possible to cache all the data pages in the DTLB. Hence, it makes sense that a larger DTLB will inevitably reduce the number of misses</w:t>
      </w:r>
      <w:r w:rsidR="001571AD">
        <w:t xml:space="preserve"> as more entries can be cached.</w:t>
      </w:r>
    </w:p>
    <w:p w:rsidR="008D6401" w:rsidRDefault="002C390D" w:rsidP="000D4E24">
      <w:pPr>
        <w:spacing w:line="240" w:lineRule="auto"/>
        <w:ind w:left="1080"/>
      </w:pPr>
      <w:r>
        <w:t xml:space="preserve">To study this hypothesis, the size of the DTLB should be varied from 128kB to 512kB with a step size of 128kB. </w:t>
      </w:r>
      <w:r w:rsidR="003A5521">
        <w:t xml:space="preserve">The input to run in order to study the hypothesis is </w:t>
      </w:r>
      <w:proofErr w:type="spellStart"/>
      <w:r w:rsidR="005A03BB">
        <w:t>simmedium</w:t>
      </w:r>
      <w:proofErr w:type="spellEnd"/>
      <w:r w:rsidR="00EB507B">
        <w:t xml:space="preserve"> which includes 500,000 click streams.</w:t>
      </w:r>
      <w:r w:rsidR="00053B98">
        <w:t xml:space="preserve"> </w:t>
      </w:r>
      <w:r w:rsidR="008D6401">
        <w:t>In order to minimize variance, the benchmark will be run 3 times</w:t>
      </w:r>
      <w:r w:rsidR="00F9493A">
        <w:t xml:space="preserve"> for each DTLB size and the average taken of the time it takes to complete the computation.</w:t>
      </w:r>
      <w:r w:rsidR="009F13C9">
        <w:t xml:space="preserve"> </w:t>
      </w:r>
    </w:p>
    <w:p w:rsidR="0019330E" w:rsidRDefault="0019330E" w:rsidP="00050728">
      <w:pPr>
        <w:pStyle w:val="ListParagraph"/>
        <w:numPr>
          <w:ilvl w:val="0"/>
          <w:numId w:val="1"/>
        </w:numPr>
        <w:spacing w:line="240" w:lineRule="auto"/>
      </w:pPr>
      <w:r>
        <w:t>Size of MSHR</w:t>
      </w:r>
    </w:p>
    <w:p w:rsidR="00DF3202" w:rsidRDefault="001476FC" w:rsidP="00984424">
      <w:pPr>
        <w:spacing w:line="240" w:lineRule="auto"/>
        <w:ind w:left="1080"/>
      </w:pPr>
      <w:r>
        <w:t>The MSHR is used to prevent the processor from stalling due to cache misses. The idea is, in the case of a cache miss, instructions which do not depend on the instruction causing the cache miss should not be delayed. They can be executed in the time it takes for the CPU to resolve the cache miss. Hardware support is required to provide support to keep track of the cache misses in order to provide data to the correct instruction when it is retrieved.</w:t>
      </w:r>
    </w:p>
    <w:p w:rsidR="00C02643" w:rsidRDefault="00AA2407" w:rsidP="00984424">
      <w:pPr>
        <w:spacing w:line="240" w:lineRule="auto"/>
        <w:ind w:left="1080"/>
      </w:pPr>
      <w:r>
        <w:t xml:space="preserve">Naively, it would seem that increasing the size of MSHR would allow for greater parallelization by reducing the number of instructions that need to be stalled in case of cache misses. </w:t>
      </w:r>
    </w:p>
    <w:p w:rsidR="00AA2407" w:rsidRDefault="00AA2407" w:rsidP="00984424">
      <w:pPr>
        <w:spacing w:line="240" w:lineRule="auto"/>
        <w:ind w:left="1080"/>
      </w:pPr>
      <w:r>
        <w:t>However, this might not be accurate since the degree of parallelization depend</w:t>
      </w:r>
      <w:r w:rsidR="0030064A">
        <w:t>s</w:t>
      </w:r>
      <w:r>
        <w:t xml:space="preserve"> greatly on the nature of the application being run and whether it is innately parallelizable. </w:t>
      </w:r>
      <w:r w:rsidR="00C02643">
        <w:t>Secon</w:t>
      </w:r>
      <w:r w:rsidR="00600C70">
        <w:t xml:space="preserve">dly, </w:t>
      </w:r>
      <w:r w:rsidR="00471388">
        <w:t xml:space="preserve">a </w:t>
      </w:r>
      <w:r w:rsidR="00471388">
        <w:lastRenderedPageBreak/>
        <w:t>greater number of MSHR registers would also increase that the possibility of two (or more) cache misses being resolved in the same cycle. In this case, at least of the instructions will have to be stalled.</w:t>
      </w:r>
    </w:p>
    <w:p w:rsidR="00997E7A" w:rsidRDefault="00997E7A" w:rsidP="00984424">
      <w:pPr>
        <w:spacing w:line="240" w:lineRule="auto"/>
        <w:ind w:left="1080"/>
      </w:pPr>
      <w:r>
        <w:t>To study this further, the size of MSHR should be varied from 1-8</w:t>
      </w:r>
      <w:r w:rsidR="007C100D">
        <w:t xml:space="preserve"> in increments of 2.</w:t>
      </w:r>
    </w:p>
    <w:p w:rsidR="0019330E" w:rsidRPr="005D493C" w:rsidRDefault="00041E6A" w:rsidP="005D493C">
      <w:pPr>
        <w:spacing w:line="240" w:lineRule="auto"/>
        <w:ind w:left="1080"/>
      </w:pPr>
      <w:r>
        <w:t>To minimize variance, each configuration will be run 3 times as in the case of DTLB.</w:t>
      </w:r>
    </w:p>
    <w:p w:rsidR="00DC0C94" w:rsidRDefault="00DC0C94" w:rsidP="00050728">
      <w:pPr>
        <w:spacing w:line="240" w:lineRule="auto"/>
        <w:rPr>
          <w:b/>
        </w:rPr>
      </w:pPr>
      <w:r>
        <w:rPr>
          <w:b/>
        </w:rPr>
        <w:t>Statistical Processing:</w:t>
      </w:r>
    </w:p>
    <w:p w:rsidR="006F27D1" w:rsidRPr="00487D10" w:rsidRDefault="00487D10" w:rsidP="00050728">
      <w:pPr>
        <w:spacing w:line="240" w:lineRule="auto"/>
      </w:pPr>
      <w:r>
        <w:t xml:space="preserve">Let </w:t>
      </w:r>
      <w:proofErr w:type="spellStart"/>
      <w:r w:rsidRPr="007A68C3">
        <w:rPr>
          <w:i/>
        </w:rPr>
        <w:t>t</w:t>
      </w:r>
      <w:r w:rsidRPr="007A68C3">
        <w:rPr>
          <w:i/>
          <w:vertAlign w:val="subscript"/>
        </w:rPr>
        <w:t>i</w:t>
      </w:r>
      <w:proofErr w:type="spellEnd"/>
      <w:r>
        <w:rPr>
          <w:vertAlign w:val="subscript"/>
        </w:rPr>
        <w:t xml:space="preserve"> </w:t>
      </w:r>
      <w:r>
        <w:t xml:space="preserve">be the time taken by run </w:t>
      </w:r>
      <w:r>
        <w:rPr>
          <w:i/>
        </w:rPr>
        <w:t xml:space="preserve">i. </w:t>
      </w:r>
      <w:r>
        <w:t xml:space="preserve">Total number of runs is </w:t>
      </w:r>
      <w:r>
        <w:rPr>
          <w:i/>
        </w:rPr>
        <w:t>n</w:t>
      </w:r>
      <w:r>
        <w:t>.</w:t>
      </w:r>
    </w:p>
    <w:p w:rsidR="0019330E" w:rsidRDefault="0019118C" w:rsidP="00050728">
      <w:pPr>
        <w:spacing w:line="240" w:lineRule="auto"/>
        <w:rPr>
          <w:rFonts w:eastAsiaTheme="minorEastAsia"/>
        </w:rPr>
      </w:pPr>
      <w:r>
        <w:t xml:space="preserve">Then, </w:t>
      </w:r>
      <m:oMath>
        <m:r>
          <m:rPr>
            <m:sty m:val="p"/>
          </m:rPr>
          <w:rPr>
            <w:rFonts w:ascii="Cambria Math" w:hAnsi="Cambria Math"/>
          </w:rPr>
          <m:t>Mean (M)</m:t>
        </m:r>
        <m:r>
          <w:rPr>
            <w:rFonts w:ascii="Cambria Math" w:eastAsia="Cambria Math" w:hAnsi="Cambria Math" w:cs="Cambria Math"/>
          </w:rPr>
          <m:t>=</m:t>
        </m:r>
        <m:f>
          <m:fPr>
            <m:ctrlPr>
              <w:rPr>
                <w:rFonts w:ascii="Cambria Math" w:eastAsia="Cambria Math" w:hAnsi="Cambria Math" w:cs="Cambria Math"/>
                <w:i/>
              </w:rPr>
            </m:ctrlPr>
          </m:fPr>
          <m:num>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num>
          <m:den>
            <m:r>
              <w:rPr>
                <w:rFonts w:ascii="Cambria Math" w:eastAsia="Cambria Math" w:hAnsi="Cambria Math" w:cs="Cambria Math"/>
              </w:rPr>
              <m:t>n</m:t>
            </m:r>
          </m:den>
        </m:f>
      </m:oMath>
    </w:p>
    <w:p w:rsidR="00543ED8" w:rsidRDefault="00543ED8" w:rsidP="00050728">
      <w:pPr>
        <w:spacing w:line="240" w:lineRule="auto"/>
        <w:rPr>
          <w:rFonts w:eastAsiaTheme="minorEastAsia"/>
        </w:rPr>
      </w:pPr>
      <w:r>
        <w:rPr>
          <w:rFonts w:eastAsiaTheme="minorEastAsia"/>
        </w:rPr>
        <w:t>Standard deviation (SD) =</w:t>
      </w:r>
      <w:r w:rsidR="006D6330">
        <w:rPr>
          <w:rFonts w:eastAsiaTheme="minorEastAsia"/>
        </w:rPr>
        <w:t xml:space="preserve"> </w:t>
      </w:r>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rPr>
              <m:t>n</m:t>
            </m:r>
          </m:den>
        </m:f>
      </m:oMath>
    </w:p>
    <w:p w:rsidR="00DB630C" w:rsidRPr="005430D2" w:rsidRDefault="009367BE" w:rsidP="00050728">
      <w:pPr>
        <w:spacing w:line="240" w:lineRule="auto"/>
        <w:rPr>
          <w:rFonts w:eastAsiaTheme="minorEastAsia"/>
        </w:rPr>
      </w:pPr>
      <w:r>
        <w:rPr>
          <w:rFonts w:eastAsiaTheme="minorEastAsia"/>
        </w:rPr>
        <w:t xml:space="preserve">Confidence interval (CI) = M </w:t>
      </w:r>
      <w:r>
        <w:rPr>
          <w:rFonts w:eastAsiaTheme="minorEastAsia" w:cstheme="minorHAnsi"/>
        </w:rPr>
        <w:t>±</w:t>
      </w:r>
      <w:r>
        <w:rPr>
          <w:rFonts w:eastAsiaTheme="minorEastAsia"/>
        </w:rPr>
        <w:t xml:space="preserve"> </w:t>
      </w:r>
      <m:oMath>
        <m:r>
          <w:rPr>
            <w:rFonts w:ascii="Cambria Math" w:eastAsiaTheme="minorEastAsia" w:hAnsi="Cambria Math"/>
          </w:rPr>
          <m:t xml:space="preserve">Z*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p>
    <w:p w:rsidR="005430D2" w:rsidRDefault="005430D2" w:rsidP="00050728">
      <w:pPr>
        <w:spacing w:line="240" w:lineRule="auto"/>
        <w:rPr>
          <w:rFonts w:eastAsiaTheme="minorEastAsia"/>
        </w:rPr>
      </w:pPr>
      <w:r>
        <w:rPr>
          <w:rFonts w:eastAsiaTheme="minorEastAsia"/>
        </w:rPr>
        <w:t>Typical two sided intervals are</w:t>
      </w:r>
      <w:r w:rsidR="00D2025A">
        <w:rPr>
          <w:rFonts w:eastAsiaTheme="minorEastAsia"/>
        </w:rPr>
        <w:t xml:space="preserve"> [3]</w:t>
      </w:r>
      <w:r>
        <w:rPr>
          <w:rFonts w:eastAsiaTheme="minorEastAsia"/>
        </w:rPr>
        <w:t>:</w:t>
      </w:r>
    </w:p>
    <w:tbl>
      <w:tblPr>
        <w:tblStyle w:val="TableGrid"/>
        <w:tblW w:w="0" w:type="auto"/>
        <w:tblLook w:val="04A0" w:firstRow="1" w:lastRow="0" w:firstColumn="1" w:lastColumn="0" w:noHBand="0" w:noVBand="1"/>
      </w:tblPr>
      <w:tblGrid>
        <w:gridCol w:w="1422"/>
        <w:gridCol w:w="1422"/>
      </w:tblGrid>
      <w:tr w:rsidR="00CC7FC2" w:rsidTr="004567B6">
        <w:trPr>
          <w:trHeight w:val="314"/>
        </w:trPr>
        <w:tc>
          <w:tcPr>
            <w:tcW w:w="1422" w:type="dxa"/>
          </w:tcPr>
          <w:p w:rsidR="00CC7FC2" w:rsidRDefault="00CC7FC2" w:rsidP="004567B6">
            <w:pPr>
              <w:jc w:val="center"/>
              <w:rPr>
                <w:rFonts w:eastAsiaTheme="minorEastAsia"/>
              </w:rPr>
            </w:pPr>
            <w:r>
              <w:rPr>
                <w:rFonts w:eastAsiaTheme="minorEastAsia"/>
              </w:rPr>
              <w:t>C (%)</w:t>
            </w:r>
          </w:p>
        </w:tc>
        <w:tc>
          <w:tcPr>
            <w:tcW w:w="1422" w:type="dxa"/>
          </w:tcPr>
          <w:p w:rsidR="00CC7FC2" w:rsidRDefault="00CC7FC2" w:rsidP="004567B6">
            <w:pPr>
              <w:jc w:val="center"/>
              <w:rPr>
                <w:rFonts w:eastAsiaTheme="minorEastAsia"/>
              </w:rPr>
            </w:pPr>
            <w:r>
              <w:rPr>
                <w:rFonts w:eastAsiaTheme="minorEastAsia"/>
              </w:rPr>
              <w:t>Z</w:t>
            </w:r>
          </w:p>
        </w:tc>
      </w:tr>
      <w:tr w:rsidR="00CC7FC2" w:rsidTr="004567B6">
        <w:trPr>
          <w:trHeight w:val="331"/>
        </w:trPr>
        <w:tc>
          <w:tcPr>
            <w:tcW w:w="1422" w:type="dxa"/>
          </w:tcPr>
          <w:p w:rsidR="00CC7FC2" w:rsidRDefault="00CC7FC2" w:rsidP="004567B6">
            <w:pPr>
              <w:jc w:val="center"/>
              <w:rPr>
                <w:rFonts w:eastAsiaTheme="minorEastAsia"/>
              </w:rPr>
            </w:pPr>
            <w:r>
              <w:rPr>
                <w:rFonts w:eastAsiaTheme="minorEastAsia"/>
              </w:rPr>
              <w:t>99</w:t>
            </w:r>
          </w:p>
        </w:tc>
        <w:tc>
          <w:tcPr>
            <w:tcW w:w="1422" w:type="dxa"/>
          </w:tcPr>
          <w:p w:rsidR="00CC7FC2" w:rsidRDefault="003267F5" w:rsidP="004567B6">
            <w:pPr>
              <w:jc w:val="center"/>
              <w:rPr>
                <w:rFonts w:eastAsiaTheme="minorEastAsia"/>
              </w:rPr>
            </w:pPr>
            <w:r>
              <w:rPr>
                <w:rFonts w:eastAsiaTheme="minorEastAsia"/>
              </w:rPr>
              <w:t>2.576</w:t>
            </w:r>
          </w:p>
        </w:tc>
      </w:tr>
      <w:tr w:rsidR="00CC7FC2" w:rsidTr="004567B6">
        <w:trPr>
          <w:trHeight w:val="314"/>
        </w:trPr>
        <w:tc>
          <w:tcPr>
            <w:tcW w:w="1422" w:type="dxa"/>
          </w:tcPr>
          <w:p w:rsidR="00CC7FC2" w:rsidRDefault="00CC7FC2" w:rsidP="004567B6">
            <w:pPr>
              <w:jc w:val="center"/>
              <w:rPr>
                <w:rFonts w:eastAsiaTheme="minorEastAsia"/>
              </w:rPr>
            </w:pPr>
            <w:r>
              <w:rPr>
                <w:rFonts w:eastAsiaTheme="minorEastAsia"/>
              </w:rPr>
              <w:t>98</w:t>
            </w:r>
          </w:p>
        </w:tc>
        <w:tc>
          <w:tcPr>
            <w:tcW w:w="1422" w:type="dxa"/>
          </w:tcPr>
          <w:p w:rsidR="00CC7FC2" w:rsidRDefault="003267F5" w:rsidP="004567B6">
            <w:pPr>
              <w:jc w:val="center"/>
              <w:rPr>
                <w:rFonts w:eastAsiaTheme="minorEastAsia"/>
              </w:rPr>
            </w:pPr>
            <w:r>
              <w:rPr>
                <w:rFonts w:eastAsiaTheme="minorEastAsia"/>
              </w:rPr>
              <w:t>2.326</w:t>
            </w:r>
          </w:p>
        </w:tc>
      </w:tr>
      <w:tr w:rsidR="00CC7FC2" w:rsidTr="004567B6">
        <w:trPr>
          <w:trHeight w:val="331"/>
        </w:trPr>
        <w:tc>
          <w:tcPr>
            <w:tcW w:w="1422" w:type="dxa"/>
          </w:tcPr>
          <w:p w:rsidR="00CC7FC2" w:rsidRDefault="00CC7FC2" w:rsidP="004567B6">
            <w:pPr>
              <w:jc w:val="center"/>
              <w:rPr>
                <w:rFonts w:eastAsiaTheme="minorEastAsia"/>
              </w:rPr>
            </w:pPr>
            <w:r>
              <w:rPr>
                <w:rFonts w:eastAsiaTheme="minorEastAsia"/>
              </w:rPr>
              <w:t>95</w:t>
            </w:r>
          </w:p>
        </w:tc>
        <w:tc>
          <w:tcPr>
            <w:tcW w:w="1422" w:type="dxa"/>
          </w:tcPr>
          <w:p w:rsidR="00CC7FC2" w:rsidRDefault="003267F5" w:rsidP="004567B6">
            <w:pPr>
              <w:jc w:val="center"/>
              <w:rPr>
                <w:rFonts w:eastAsiaTheme="minorEastAsia"/>
              </w:rPr>
            </w:pPr>
            <w:r>
              <w:rPr>
                <w:rFonts w:eastAsiaTheme="minorEastAsia"/>
              </w:rPr>
              <w:t>1.96</w:t>
            </w:r>
          </w:p>
        </w:tc>
      </w:tr>
      <w:tr w:rsidR="00CC7FC2" w:rsidTr="004567B6">
        <w:trPr>
          <w:trHeight w:val="331"/>
        </w:trPr>
        <w:tc>
          <w:tcPr>
            <w:tcW w:w="1422" w:type="dxa"/>
          </w:tcPr>
          <w:p w:rsidR="00CC7FC2" w:rsidRDefault="00CC7FC2" w:rsidP="004567B6">
            <w:pPr>
              <w:jc w:val="center"/>
              <w:rPr>
                <w:rFonts w:eastAsiaTheme="minorEastAsia"/>
              </w:rPr>
            </w:pPr>
            <w:r>
              <w:rPr>
                <w:rFonts w:eastAsiaTheme="minorEastAsia"/>
              </w:rPr>
              <w:t>90</w:t>
            </w:r>
          </w:p>
        </w:tc>
        <w:tc>
          <w:tcPr>
            <w:tcW w:w="1422" w:type="dxa"/>
          </w:tcPr>
          <w:p w:rsidR="00CC7FC2" w:rsidRDefault="003267F5" w:rsidP="008A0207">
            <w:pPr>
              <w:keepNext/>
              <w:jc w:val="center"/>
              <w:rPr>
                <w:rFonts w:eastAsiaTheme="minorEastAsia"/>
              </w:rPr>
            </w:pPr>
            <w:r>
              <w:rPr>
                <w:rFonts w:eastAsiaTheme="minorEastAsia"/>
              </w:rPr>
              <w:t>1.645</w:t>
            </w:r>
          </w:p>
        </w:tc>
      </w:tr>
    </w:tbl>
    <w:p w:rsidR="005430D2" w:rsidRDefault="008A0207" w:rsidP="008A0207">
      <w:pPr>
        <w:pStyle w:val="Caption"/>
      </w:pPr>
      <w:r>
        <w:t xml:space="preserve">Table </w:t>
      </w:r>
      <w:fldSimple w:instr=" SEQ Table \* ARABIC ">
        <w:r w:rsidR="00EE1459">
          <w:rPr>
            <w:noProof/>
          </w:rPr>
          <w:t>1</w:t>
        </w:r>
      </w:fldSimple>
    </w:p>
    <w:p w:rsidR="00CD5ED4" w:rsidRPr="00CD5ED4" w:rsidRDefault="00CD5ED4" w:rsidP="00CD5ED4">
      <w:r>
        <w:t>We can use the values in Table 1 to calculate the error for confidence intervals.</w:t>
      </w:r>
    </w:p>
    <w:p w:rsidR="008840FF" w:rsidRDefault="00ED320C" w:rsidP="00050728">
      <w:pPr>
        <w:spacing w:line="240" w:lineRule="auto"/>
        <w:rPr>
          <w:b/>
        </w:rPr>
      </w:pPr>
      <w:r>
        <w:rPr>
          <w:b/>
        </w:rPr>
        <w:t>References</w:t>
      </w:r>
    </w:p>
    <w:p w:rsidR="00ED320C" w:rsidRDefault="008D71BA" w:rsidP="00050728">
      <w:pPr>
        <w:spacing w:line="240" w:lineRule="auto"/>
      </w:pPr>
      <w:r>
        <w:t>[1]</w:t>
      </w:r>
      <w:r w:rsidR="004B69CA">
        <w:t xml:space="preserve"> </w:t>
      </w:r>
      <w:r w:rsidR="004B69CA">
        <w:t>Chr</w:t>
      </w:r>
      <w:r w:rsidR="00807194">
        <w:t xml:space="preserve">istian </w:t>
      </w:r>
      <w:proofErr w:type="spellStart"/>
      <w:r w:rsidR="00807194">
        <w:t>Bienia</w:t>
      </w:r>
      <w:proofErr w:type="spellEnd"/>
      <w:r w:rsidR="00807194">
        <w:t xml:space="preserve">, </w:t>
      </w:r>
      <w:proofErr w:type="spellStart"/>
      <w:r w:rsidR="00807194">
        <w:t>Sanjeev</w:t>
      </w:r>
      <w:proofErr w:type="spellEnd"/>
      <w:r w:rsidR="00807194">
        <w:t xml:space="preserve"> Kumar</w:t>
      </w:r>
      <w:r w:rsidR="006B1A74">
        <w:t xml:space="preserve"> </w:t>
      </w:r>
      <w:proofErr w:type="spellStart"/>
      <w:r w:rsidR="006B1A74">
        <w:t>Jaswinder</w:t>
      </w:r>
      <w:proofErr w:type="spellEnd"/>
      <w:r w:rsidR="006B1A74">
        <w:t xml:space="preserve"> </w:t>
      </w:r>
      <w:r w:rsidR="00807194">
        <w:t>Pal Singh and Kai Li</w:t>
      </w:r>
      <w:r w:rsidR="000F2304">
        <w:t>.</w:t>
      </w:r>
      <w:r w:rsidR="007D7BC9">
        <w:t xml:space="preserve"> </w:t>
      </w:r>
      <w:r w:rsidR="007D7BC9">
        <w:t>The PARSEC Benchmark Suite: Characterization and Architectural Implications</w:t>
      </w:r>
      <w:r w:rsidR="00076D4A">
        <w:t>.</w:t>
      </w:r>
      <w:r w:rsidR="0025035F">
        <w:t xml:space="preserve"> </w:t>
      </w:r>
      <w:r w:rsidR="0025035F" w:rsidRPr="0025035F">
        <w:rPr>
          <w:i/>
        </w:rPr>
        <w:t>http://parsec.cs.princeton.edu/doc/parsec-report.pdf</w:t>
      </w:r>
      <w:r w:rsidR="006B5245">
        <w:t>.</w:t>
      </w:r>
      <w:r w:rsidR="00B70DA0">
        <w:t xml:space="preserve"> </w:t>
      </w:r>
      <w:r w:rsidR="00ED4323">
        <w:t>January 2008.</w:t>
      </w:r>
    </w:p>
    <w:p w:rsidR="008D71BA" w:rsidRDefault="008D71BA" w:rsidP="00050728">
      <w:pPr>
        <w:spacing w:line="240" w:lineRule="auto"/>
      </w:pPr>
      <w:proofErr w:type="gramStart"/>
      <w:r>
        <w:t>[2]</w:t>
      </w:r>
      <w:r w:rsidR="00F77657">
        <w:t xml:space="preserve"> </w:t>
      </w:r>
      <w:r w:rsidR="006B5245">
        <w:t xml:space="preserve">G. </w:t>
      </w:r>
      <w:proofErr w:type="spellStart"/>
      <w:r w:rsidR="006B5245">
        <w:t>Grahne</w:t>
      </w:r>
      <w:proofErr w:type="spellEnd"/>
      <w:r w:rsidR="006B5245">
        <w:t xml:space="preserve"> and J. Zhu.</w:t>
      </w:r>
      <w:proofErr w:type="gramEnd"/>
      <w:r w:rsidR="006B5245">
        <w:t xml:space="preserve"> Efficiently Using Prefix-trees in Mining Frequent </w:t>
      </w:r>
      <w:proofErr w:type="spellStart"/>
      <w:r w:rsidR="006B5245">
        <w:t>Itemsets</w:t>
      </w:r>
      <w:proofErr w:type="spellEnd"/>
      <w:r w:rsidR="006B5245">
        <w:t>. November 2003.</w:t>
      </w:r>
    </w:p>
    <w:p w:rsidR="00E5770F" w:rsidRPr="008D71BA" w:rsidRDefault="00E5770F" w:rsidP="00050728">
      <w:pPr>
        <w:spacing w:line="240" w:lineRule="auto"/>
      </w:pPr>
      <w:r>
        <w:t>[3]</w:t>
      </w:r>
      <w:r w:rsidR="007E2A3E">
        <w:t xml:space="preserve"> </w:t>
      </w:r>
      <w:r w:rsidR="00E747F6" w:rsidRPr="000A5C7D">
        <w:rPr>
          <w:rFonts w:ascii="Arial" w:hAnsi="Arial" w:cs="Arial"/>
          <w:sz w:val="19"/>
          <w:szCs w:val="19"/>
        </w:rPr>
        <w:t>"Checking Out Statistical Confidence Interval Critical Values – For Dummies"</w:t>
      </w:r>
      <w:r w:rsidR="00E747F6">
        <w:rPr>
          <w:rFonts w:ascii="Arial" w:hAnsi="Arial" w:cs="Arial"/>
          <w:color w:val="222222"/>
          <w:sz w:val="19"/>
          <w:szCs w:val="19"/>
          <w:shd w:val="clear" w:color="auto" w:fill="EAF3FF"/>
        </w:rPr>
        <w:t>. </w:t>
      </w:r>
      <w:r w:rsidR="00E747F6">
        <w:rPr>
          <w:rFonts w:ascii="Arial" w:hAnsi="Arial" w:cs="Arial"/>
          <w:i/>
          <w:iCs/>
          <w:color w:val="222222"/>
          <w:sz w:val="19"/>
          <w:szCs w:val="19"/>
          <w:shd w:val="clear" w:color="auto" w:fill="EAF3FF"/>
        </w:rPr>
        <w:t>www.dummies.com</w:t>
      </w:r>
      <w:r w:rsidR="00E747F6">
        <w:rPr>
          <w:rStyle w:val="reference-accessdate"/>
          <w:rFonts w:ascii="Arial" w:hAnsi="Arial" w:cs="Arial"/>
          <w:color w:val="222222"/>
          <w:sz w:val="19"/>
          <w:szCs w:val="19"/>
          <w:shd w:val="clear" w:color="auto" w:fill="EAF3FF"/>
        </w:rPr>
        <w:t>. Retrieved </w:t>
      </w:r>
      <w:r w:rsidR="00E747F6">
        <w:rPr>
          <w:rStyle w:val="nowrap"/>
          <w:rFonts w:ascii="Arial" w:hAnsi="Arial" w:cs="Arial"/>
          <w:color w:val="222222"/>
          <w:sz w:val="19"/>
          <w:szCs w:val="19"/>
          <w:shd w:val="clear" w:color="auto" w:fill="EAF3FF"/>
        </w:rPr>
        <w:t>2016-02-11</w:t>
      </w:r>
      <w:r w:rsidR="00E747F6">
        <w:rPr>
          <w:rFonts w:ascii="Arial" w:hAnsi="Arial" w:cs="Arial"/>
          <w:color w:val="222222"/>
          <w:sz w:val="19"/>
          <w:szCs w:val="19"/>
          <w:shd w:val="clear" w:color="auto" w:fill="EAF3FF"/>
        </w:rPr>
        <w:t>.</w:t>
      </w:r>
    </w:p>
    <w:sectPr w:rsidR="00E5770F" w:rsidRPr="008D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D6CFC"/>
    <w:multiLevelType w:val="hybridMultilevel"/>
    <w:tmpl w:val="D9ECE6BC"/>
    <w:lvl w:ilvl="0" w:tplc="C16E33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30E"/>
    <w:rsid w:val="00005A50"/>
    <w:rsid w:val="00041E6A"/>
    <w:rsid w:val="00050728"/>
    <w:rsid w:val="00053B98"/>
    <w:rsid w:val="00061160"/>
    <w:rsid w:val="00076D4A"/>
    <w:rsid w:val="00093815"/>
    <w:rsid w:val="000A5C7D"/>
    <w:rsid w:val="000D4E24"/>
    <w:rsid w:val="000F2304"/>
    <w:rsid w:val="001476FC"/>
    <w:rsid w:val="001571AD"/>
    <w:rsid w:val="00184BF9"/>
    <w:rsid w:val="0019118C"/>
    <w:rsid w:val="0019330E"/>
    <w:rsid w:val="001B2B46"/>
    <w:rsid w:val="001F1A0F"/>
    <w:rsid w:val="0025035F"/>
    <w:rsid w:val="002728F7"/>
    <w:rsid w:val="002C1EDE"/>
    <w:rsid w:val="002C390D"/>
    <w:rsid w:val="002F5212"/>
    <w:rsid w:val="0030064A"/>
    <w:rsid w:val="003267F5"/>
    <w:rsid w:val="00343727"/>
    <w:rsid w:val="00344705"/>
    <w:rsid w:val="00354572"/>
    <w:rsid w:val="003A5521"/>
    <w:rsid w:val="004249DB"/>
    <w:rsid w:val="004423BE"/>
    <w:rsid w:val="004567B6"/>
    <w:rsid w:val="00471388"/>
    <w:rsid w:val="004819E7"/>
    <w:rsid w:val="00487D10"/>
    <w:rsid w:val="004B69CA"/>
    <w:rsid w:val="0050650E"/>
    <w:rsid w:val="005430D2"/>
    <w:rsid w:val="00543ED8"/>
    <w:rsid w:val="00590040"/>
    <w:rsid w:val="005A03BB"/>
    <w:rsid w:val="005A445C"/>
    <w:rsid w:val="005D493C"/>
    <w:rsid w:val="00600C70"/>
    <w:rsid w:val="006B1192"/>
    <w:rsid w:val="006B1A74"/>
    <w:rsid w:val="006B5245"/>
    <w:rsid w:val="006D2334"/>
    <w:rsid w:val="006D6330"/>
    <w:rsid w:val="006F27D1"/>
    <w:rsid w:val="00731366"/>
    <w:rsid w:val="00760502"/>
    <w:rsid w:val="0076218B"/>
    <w:rsid w:val="007A68C3"/>
    <w:rsid w:val="007B64B2"/>
    <w:rsid w:val="007C100D"/>
    <w:rsid w:val="007D7BC9"/>
    <w:rsid w:val="007E2A3E"/>
    <w:rsid w:val="00801A34"/>
    <w:rsid w:val="00807194"/>
    <w:rsid w:val="00842BA7"/>
    <w:rsid w:val="008840FF"/>
    <w:rsid w:val="0089445B"/>
    <w:rsid w:val="008A0207"/>
    <w:rsid w:val="008D6401"/>
    <w:rsid w:val="008D71BA"/>
    <w:rsid w:val="00933AC7"/>
    <w:rsid w:val="009367BE"/>
    <w:rsid w:val="009810A6"/>
    <w:rsid w:val="00984424"/>
    <w:rsid w:val="00997E7A"/>
    <w:rsid w:val="009B2B84"/>
    <w:rsid w:val="009F13C9"/>
    <w:rsid w:val="00A0662A"/>
    <w:rsid w:val="00A57403"/>
    <w:rsid w:val="00AA2407"/>
    <w:rsid w:val="00AE079A"/>
    <w:rsid w:val="00B008AC"/>
    <w:rsid w:val="00B10000"/>
    <w:rsid w:val="00B14A65"/>
    <w:rsid w:val="00B161A8"/>
    <w:rsid w:val="00B70DA0"/>
    <w:rsid w:val="00C02643"/>
    <w:rsid w:val="00C46776"/>
    <w:rsid w:val="00CB219D"/>
    <w:rsid w:val="00CC7FC2"/>
    <w:rsid w:val="00CD5ED4"/>
    <w:rsid w:val="00CE3412"/>
    <w:rsid w:val="00CE7DFF"/>
    <w:rsid w:val="00D2025A"/>
    <w:rsid w:val="00D248A5"/>
    <w:rsid w:val="00D428D7"/>
    <w:rsid w:val="00DB630C"/>
    <w:rsid w:val="00DC0C94"/>
    <w:rsid w:val="00DC297F"/>
    <w:rsid w:val="00DF3202"/>
    <w:rsid w:val="00DF685A"/>
    <w:rsid w:val="00E5770F"/>
    <w:rsid w:val="00E747F6"/>
    <w:rsid w:val="00EA4B05"/>
    <w:rsid w:val="00EB507B"/>
    <w:rsid w:val="00ED320C"/>
    <w:rsid w:val="00ED4323"/>
    <w:rsid w:val="00EE1459"/>
    <w:rsid w:val="00F15015"/>
    <w:rsid w:val="00F34490"/>
    <w:rsid w:val="00F742B0"/>
    <w:rsid w:val="00F77657"/>
    <w:rsid w:val="00F9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30E"/>
    <w:pPr>
      <w:ind w:left="720"/>
      <w:contextualSpacing/>
    </w:pPr>
  </w:style>
  <w:style w:type="paragraph" w:styleId="BalloonText">
    <w:name w:val="Balloon Text"/>
    <w:basedOn w:val="Normal"/>
    <w:link w:val="BalloonTextChar"/>
    <w:uiPriority w:val="99"/>
    <w:semiHidden/>
    <w:unhideWhenUsed/>
    <w:rsid w:val="00B00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8AC"/>
    <w:rPr>
      <w:rFonts w:ascii="Tahoma" w:hAnsi="Tahoma" w:cs="Tahoma"/>
      <w:sz w:val="16"/>
      <w:szCs w:val="16"/>
    </w:rPr>
  </w:style>
  <w:style w:type="character" w:styleId="PlaceholderText">
    <w:name w:val="Placeholder Text"/>
    <w:basedOn w:val="DefaultParagraphFont"/>
    <w:uiPriority w:val="99"/>
    <w:semiHidden/>
    <w:rsid w:val="001B2B46"/>
    <w:rPr>
      <w:color w:val="808080"/>
    </w:rPr>
  </w:style>
  <w:style w:type="table" w:styleId="TableGrid">
    <w:name w:val="Table Grid"/>
    <w:basedOn w:val="TableNormal"/>
    <w:uiPriority w:val="59"/>
    <w:rsid w:val="00CC7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47F6"/>
    <w:rPr>
      <w:color w:val="0000FF"/>
      <w:u w:val="single"/>
    </w:rPr>
  </w:style>
  <w:style w:type="character" w:customStyle="1" w:styleId="reference-accessdate">
    <w:name w:val="reference-accessdate"/>
    <w:basedOn w:val="DefaultParagraphFont"/>
    <w:rsid w:val="00E747F6"/>
  </w:style>
  <w:style w:type="character" w:customStyle="1" w:styleId="nowrap">
    <w:name w:val="nowrap"/>
    <w:basedOn w:val="DefaultParagraphFont"/>
    <w:rsid w:val="00E747F6"/>
  </w:style>
  <w:style w:type="paragraph" w:styleId="Caption">
    <w:name w:val="caption"/>
    <w:basedOn w:val="Normal"/>
    <w:next w:val="Normal"/>
    <w:uiPriority w:val="35"/>
    <w:unhideWhenUsed/>
    <w:qFormat/>
    <w:rsid w:val="008A020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30E"/>
    <w:pPr>
      <w:ind w:left="720"/>
      <w:contextualSpacing/>
    </w:pPr>
  </w:style>
  <w:style w:type="paragraph" w:styleId="BalloonText">
    <w:name w:val="Balloon Text"/>
    <w:basedOn w:val="Normal"/>
    <w:link w:val="BalloonTextChar"/>
    <w:uiPriority w:val="99"/>
    <w:semiHidden/>
    <w:unhideWhenUsed/>
    <w:rsid w:val="00B00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8AC"/>
    <w:rPr>
      <w:rFonts w:ascii="Tahoma" w:hAnsi="Tahoma" w:cs="Tahoma"/>
      <w:sz w:val="16"/>
      <w:szCs w:val="16"/>
    </w:rPr>
  </w:style>
  <w:style w:type="character" w:styleId="PlaceholderText">
    <w:name w:val="Placeholder Text"/>
    <w:basedOn w:val="DefaultParagraphFont"/>
    <w:uiPriority w:val="99"/>
    <w:semiHidden/>
    <w:rsid w:val="001B2B46"/>
    <w:rPr>
      <w:color w:val="808080"/>
    </w:rPr>
  </w:style>
  <w:style w:type="table" w:styleId="TableGrid">
    <w:name w:val="Table Grid"/>
    <w:basedOn w:val="TableNormal"/>
    <w:uiPriority w:val="59"/>
    <w:rsid w:val="00CC7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47F6"/>
    <w:rPr>
      <w:color w:val="0000FF"/>
      <w:u w:val="single"/>
    </w:rPr>
  </w:style>
  <w:style w:type="character" w:customStyle="1" w:styleId="reference-accessdate">
    <w:name w:val="reference-accessdate"/>
    <w:basedOn w:val="DefaultParagraphFont"/>
    <w:rsid w:val="00E747F6"/>
  </w:style>
  <w:style w:type="character" w:customStyle="1" w:styleId="nowrap">
    <w:name w:val="nowrap"/>
    <w:basedOn w:val="DefaultParagraphFont"/>
    <w:rsid w:val="00E747F6"/>
  </w:style>
  <w:style w:type="paragraph" w:styleId="Caption">
    <w:name w:val="caption"/>
    <w:basedOn w:val="Normal"/>
    <w:next w:val="Normal"/>
    <w:uiPriority w:val="35"/>
    <w:unhideWhenUsed/>
    <w:qFormat/>
    <w:rsid w:val="008A020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 Bokhari</dc:creator>
  <cp:lastModifiedBy>Meisam Bokhari</cp:lastModifiedBy>
  <cp:revision>115</cp:revision>
  <cp:lastPrinted>2019-03-07T05:28:00Z</cp:lastPrinted>
  <dcterms:created xsi:type="dcterms:W3CDTF">2019-03-07T02:58:00Z</dcterms:created>
  <dcterms:modified xsi:type="dcterms:W3CDTF">2019-03-07T05:28:00Z</dcterms:modified>
</cp:coreProperties>
</file>