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AlphaZee product and supplier decisions</w:t>
      </w:r>
    </w:p>
    <w:p>
      <w:r>
        <w:t>Living discussion record | Version 2 | 10 October 2026</w:t>
      </w:r>
    </w:p>
    <w:p>
      <w:r>
        <w:t>We are defining how AlphaZee works before finalizing its database. This document records the owner’s intended experience, recommended safeguards, product data, and questions still open. Recommendations remain proposals until accepted. Database migrations remain paused.</w:t>
      </w:r>
    </w:p>
    <w:p>
      <w:pPr>
        <w:pStyle w:val="Heading2"/>
      </w:pPr>
      <w:r>
        <w:t>What we have agreed and what is new</w:t>
      </w:r>
    </w:p>
    <w:p>
      <w:r>
        <w:t>Confirmed earlier: Pakistan launch, PKR pricing, COD, manually verified bank transfers before shipping, and initially manual supplier handoff. We are building the storefront and owner administration incrementally.</w:t>
      </w:r>
    </w:p>
    <w:p>
      <w:r>
        <w:t>New owner direction: give local suppliers an account and a portal where they can find their assigned products using a unique code, inspect them, and adjust stock. The owner also wants print on demand and is considering WhatsApp for supplier order handoff. These are requirements to design; implementation timing and exact permissions are not yet approved.</w:t>
      </w:r>
    </w:p>
    <w:p>
      <w:pPr>
        <w:pStyle w:val="Heading2"/>
      </w:pPr>
      <w:r>
        <w:t>Local supplier portal</w:t>
      </w:r>
    </w:p>
    <w:p>
      <w:r>
        <w:t>Recommended flow: supplier signs in, searches or scans a code, sees only their assigned product and variants, records a stock change, and saves. The server checks supplier ownership on every read and update. Knowing a code must never grant access to another supplier’s products.</w:t>
      </w:r>
    </w:p>
    <w:p>
      <w:r>
        <w:t>Use a stable product code to open the product, then a SKU to identify the exact sellable variant. Example: AZ-TEE-001 opens a T-shirt; AZ-TEE-001-BLK-M identifies black, medium. A slug is useful for customer URLs, but stock should be tied to stable variant IDs. Codes here are illustrative.</w:t>
      </w:r>
    </w:p>
    <w:p>
      <w:r>
        <w:t>Confirmed: suppliers have restricted access to operational facts they control, especially stock. AlphaZee agrees supply prices and sets retail prices. Other permissions require explicit agreement; suppliers cannot independently change public prices or publish listings.</w:t>
      </w:r>
    </w:p>
    <w:p>
      <w:pPr>
        <w:pStyle w:val="Heading2"/>
      </w:pPr>
      <w:r>
        <w:t>Reliable stock records</w:t>
      </w:r>
    </w:p>
    <w:p>
      <w:r>
        <w:t>Record stock per variant, with supplier, location if needed, quantity change, reason, actor, time, and resulting balance. Support both adjustments such as “add 5” and a physical count such as “set to 12.” Prevent negative available stock and detect conflicting simultaneous edits.</w:t>
      </w:r>
    </w:p>
    <w:p>
      <w:r>
        <w:t>Proposed calculation: available to sell = reported on hand minus reservations minus any agreed safety buffer. Track when the supplier last checked stock. If the same stock is sold in their shop, portal updates alone cannot guarantee availability; agree how often they update and whether orders need reconfirmation.</w:t>
      </w:r>
    </w:p>
    <w:p>
      <w:r>
        <w:t>Still open: when to reserve stock, when reservations expire for unpaid transfers, how cancellation releases stock, and whether returned goods are sellable after inspection. RTO must not automatically restore stock before receipt and condition checks.</w:t>
      </w:r>
    </w:p>
    <w:p>
      <w:r>
        <w:br w:type="page"/>
      </w:r>
    </w:p>
    <w:p>
      <w:pPr>
        <w:pStyle w:val="Heading1"/>
      </w:pPr>
      <w:r>
        <w:t>Print on demand and supplier handoff</w:t>
      </w:r>
    </w:p>
    <w:p>
      <w:pPr>
        <w:pStyle w:val="Heading2"/>
      </w:pPr>
      <w:r>
        <w:t>Availability has two parts</w:t>
      </w:r>
    </w:p>
    <w:p>
      <w:r>
        <w:t>Print on demand does not mean unlimited stock. The supplier needs blank garments in the ordered size/color and capacity to print them. Proposed availability combines blank-item availability, supported print options, and an agreed production lead time. Exact shared blank inventory can be added if needed; do not duplicate one blank pool across multiple designs as independent stock.</w:t>
      </w:r>
    </w:p>
    <w:p>
      <w:r>
        <w:t>For an early release, the supplier could maintain availability and production lead time through a simple portal or confirm each order manually. Do not promise a delivery date before capacity and shipping arrangements are agreed.</w:t>
      </w:r>
    </w:p>
    <w:p>
      <w:pPr>
        <w:pStyle w:val="Heading2"/>
      </w:pPr>
      <w:r>
        <w:t>Order handoff</w:t>
      </w:r>
    </w:p>
    <w:p>
      <w:r>
        <w:t>Proposed flow: order is recorded, payment or COD approval is checked, the supplier receives the job, the supplier accepts or rejects it, production starts, then shipment and tracking are recorded. Transfer orders require verified funds before fulfillment release; the precise COD confirmation rule is still open.</w:t>
      </w:r>
    </w:p>
    <w:p>
      <w:r>
        <w:t>Initial WhatsApp proposal: generate a prepared message for the owner to review and send. Automatic sending is a separate future integration requiring its own implementation and delivery-status checks. No messages have been sent and no WhatsApp integration is assumed to exist.</w:t>
      </w:r>
    </w:p>
    <w:p>
      <w:r>
        <w:t>A supplier message should include the order reference, item SKU, design reference/version, size, color, quantity, print position, any personalization, expected production date, and required shipping instructions. Share the customer address/phone only with the supplier who needs it for fulfillment. Do not send bank receipts or unrelated customer data.</w:t>
      </w:r>
    </w:p>
    <w:p>
      <w:r>
        <w:t>Keep the job in AlphaZee even if communication happens on WhatsApp. Record acceptance, rejection reason, production progress, tracking, and handoff attempts. Sending a message is not supplier acceptance; a retry must not create a duplicate production job.</w:t>
      </w:r>
    </w:p>
    <w:p>
      <w:pPr>
        <w:pStyle w:val="Heading2"/>
      </w:pPr>
      <w:r>
        <w:t>Print specific data</w:t>
      </w:r>
    </w:p>
    <w:tbl>
      <w:tblPr>
        <w:tblW w:type="auto" w:w="0"/>
        <w:tblLayout w:type="fixed"/>
        <w:tblLook w:firstColumn="1" w:firstRow="1" w:lastColumn="0" w:lastRow="0" w:noHBand="0" w:noVBand="1" w:val="04A0"/>
      </w:tblPr>
      <w:tblGrid>
        <w:gridCol w:w="1944"/>
        <w:gridCol w:w="8136"/>
      </w:tblGrid>
      <w:tr>
        <w:trPr>
          <w:cantSplit/>
          <w:tblHeader/>
        </w:trPr>
        <w:tc>
          <w:tcPr>
            <w:tcW w:type="dxa" w:w="5040"/>
            <w:shd w:fill="E8EDF2"/>
            <w:tcBorders>
              <w:top w:val="single" w:sz="4" w:color="D9D9D9"/>
              <w:left w:val="single" w:sz="4" w:color="D9D9D9"/>
              <w:bottom w:val="single" w:sz="4" w:color="D9D9D9"/>
              <w:right w:val="single" w:sz="4" w:color="D9D9D9"/>
            </w:tcBorders>
          </w:tcPr>
          <w:p>
            <w:pPr>
              <w:spacing w:after="100" w:before="100"/>
            </w:pPr>
            <w:r>
              <w:rPr>
                <w:b/>
                <w:sz w:val="20"/>
              </w:rPr>
              <w:t>Data</w:t>
            </w:r>
          </w:p>
        </w:tc>
        <w:tc>
          <w:tcPr>
            <w:tcW w:type="dxa" w:w="5040"/>
            <w:shd w:fill="E8EDF2"/>
            <w:tcBorders>
              <w:top w:val="single" w:sz="4" w:color="D9D9D9"/>
              <w:left w:val="single" w:sz="4" w:color="D9D9D9"/>
              <w:bottom w:val="single" w:sz="4" w:color="D9D9D9"/>
              <w:right w:val="single" w:sz="4" w:color="D9D9D9"/>
            </w:tcBorders>
          </w:tcPr>
          <w:p>
            <w:pPr>
              <w:spacing w:after="100" w:before="100"/>
            </w:pPr>
            <w:r>
              <w:rPr>
                <w:b/>
                <w:sz w:val="20"/>
              </w:rPr>
              <w:t>Proposed contents</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Design</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Design ID, name, preview, production artwork file, file version and approved print positions</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Blank item</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Garment type, material, size/color options and supplier blank SKU</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Production</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Supplier, print method, supported area, lead time, capacity/availability status and last confirmation</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Order instructions</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Selected design version, print placement, personalization text/file if offered, quantity and approval state</w:t>
            </w:r>
          </w:p>
        </w:tc>
      </w:tr>
    </w:tbl>
    <w:p>
      <w:pPr>
        <w:pStyle w:val="Heading2"/>
      </w:pPr>
      <w:r>
        <w:t>Confirmed POD offering</w:t>
      </w:r>
    </w:p>
    <w:p>
      <w:r>
        <w:t>Confirmed on 10 October: advertise AlphaZee designs and accept custom requests through chat. Printable customer artwork costs extra; artwork repair or original design work costs more. The owner wants payment before paid design discussion or before showing custom designs. The exact fee milestone, revision allowance, and refund terms remain open.</w:t>
      </w:r>
    </w:p>
    <w:p>
      <w:r>
        <w:br w:type="page"/>
      </w:r>
    </w:p>
    <w:p>
      <w:pPr>
        <w:pStyle w:val="Heading1"/>
      </w:pPr>
      <w:r>
        <w:t>Product information and next decisions</w:t>
      </w:r>
    </w:p>
    <w:p>
      <w:r>
        <w:t>The following is a proposed logical data inventory, not a finalized SQL schema. Separate shared product details, exact variants, supplier information, and order history so the frontend can display accurate data wherever needed.</w:t>
      </w:r>
    </w:p>
    <w:tbl>
      <w:tblPr>
        <w:tblW w:type="auto" w:w="0"/>
        <w:tblLayout w:type="fixed"/>
        <w:tblLook w:firstColumn="1" w:firstRow="1" w:lastColumn="0" w:lastRow="0" w:noHBand="0" w:noVBand="1" w:val="04A0"/>
      </w:tblPr>
      <w:tblGrid>
        <w:gridCol w:w="1944"/>
        <w:gridCol w:w="8136"/>
      </w:tblGrid>
      <w:tr>
        <w:trPr>
          <w:cantSplit/>
          <w:tblHeader/>
        </w:trPr>
        <w:tc>
          <w:tcPr>
            <w:tcW w:type="dxa" w:w="5040"/>
            <w:shd w:fill="E8EDF2"/>
            <w:tcBorders>
              <w:top w:val="single" w:sz="4" w:color="D9D9D9"/>
              <w:left w:val="single" w:sz="4" w:color="D9D9D9"/>
              <w:bottom w:val="single" w:sz="4" w:color="D9D9D9"/>
              <w:right w:val="single" w:sz="4" w:color="D9D9D9"/>
            </w:tcBorders>
          </w:tcPr>
          <w:p>
            <w:pPr>
              <w:spacing w:after="100" w:before="100"/>
            </w:pPr>
            <w:r>
              <w:rPr>
                <w:b/>
                <w:sz w:val="20"/>
              </w:rPr>
              <w:t>Group</w:t>
            </w:r>
          </w:p>
        </w:tc>
        <w:tc>
          <w:tcPr>
            <w:tcW w:type="dxa" w:w="5040"/>
            <w:shd w:fill="E8EDF2"/>
            <w:tcBorders>
              <w:top w:val="single" w:sz="4" w:color="D9D9D9"/>
              <w:left w:val="single" w:sz="4" w:color="D9D9D9"/>
              <w:bottom w:val="single" w:sz="4" w:color="D9D9D9"/>
              <w:right w:val="single" w:sz="4" w:color="D9D9D9"/>
            </w:tcBorders>
          </w:tcPr>
          <w:p>
            <w:pPr>
              <w:spacing w:after="100" w:before="100"/>
            </w:pPr>
            <w:r>
              <w:rPr>
                <w:b/>
                <w:sz w:val="20"/>
              </w:rPr>
              <w:t>Data to define</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Product</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Stable ID, product code, slug, title, description, category/collection, fulfillment type, draft/published/archived state</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Details</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Material, fit, size chart with units, care instructions, dimensions/weight where relevant, tags and applicable return information</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Media</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Ordered images/videos, primary image, alt text, optional variant association; public previews separate from private production artwork</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Variant</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Stable ID, unique SKU, size, color label/swatch, exact valid combination, selling price, optional genuine comparison price and active state</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Supplier offer</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Supplier, supplier SKU, assigned variant, supply cost, fulfillment lead time, stock/availability method and last update</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Inventory</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On-hand quantity where tracked, reservations, adjustments, reasons, actors and timestamps; availability status where exact counts are unavailable</w:t>
            </w:r>
          </w:p>
        </w:tc>
      </w:tr>
      <w:tr>
        <w:trPr>
          <w:cantSplit/>
        </w:trPr>
        <w:tc>
          <w:tcPr>
            <w:tcW w:type="dxa" w:w="1944"/>
            <w:tcBorders>
              <w:top w:val="single" w:sz="4" w:color="D9D9D9"/>
              <w:left w:val="single" w:sz="4" w:color="D9D9D9"/>
              <w:bottom w:val="single" w:sz="4" w:color="D9D9D9"/>
              <w:right w:val="single" w:sz="4" w:color="D9D9D9"/>
            </w:tcBorders>
          </w:tcPr>
          <w:p>
            <w:pPr>
              <w:spacing w:after="100" w:before="100"/>
            </w:pPr>
            <w:r>
              <w:rPr>
                <w:sz w:val="20"/>
              </w:rPr>
              <w:t>Order snapshot</w:t>
            </w:r>
          </w:p>
        </w:tc>
        <w:tc>
          <w:tcPr>
            <w:tcW w:type="dxa" w:w="8136"/>
            <w:tcBorders>
              <w:top w:val="single" w:sz="4" w:color="D9D9D9"/>
              <w:left w:val="single" w:sz="4" w:color="D9D9D9"/>
              <w:bottom w:val="single" w:sz="4" w:color="D9D9D9"/>
              <w:right w:val="single" w:sz="4" w:color="D9D9D9"/>
            </w:tcBorders>
          </w:tcPr>
          <w:p>
            <w:pPr>
              <w:spacing w:after="100" w:before="100"/>
            </w:pPr>
            <w:r>
              <w:rPr>
                <w:sz w:val="20"/>
              </w:rPr>
              <w:t>Purchased title/options, quantity, sale price, agreed supplier cost, design version where applicable and shipping address at order time</w:t>
            </w:r>
          </w:p>
        </w:tc>
      </w:tr>
    </w:tbl>
    <w:p>
      <w:pPr>
        <w:pStyle w:val="Heading2"/>
      </w:pPr>
      <w:r>
        <w:t>What customers should see</w:t>
      </w:r>
    </w:p>
    <w:p>
      <w:r>
        <w:t>Show only valid size/color combinations. A valid but unavailable variant may be hidden or shown disabled; this is a display decision still open. Never offer combinations that the supplier does not supply. A selected color can select its own photos, while the selected variant determines price and availability.</w:t>
      </w:r>
    </w:p>
    <w:p>
      <w:r>
        <w:t>The public storefront should not expose supplier costs, private contacts, internal stock notes, or artwork production files. Store money in integer paisas and media as file references or URLs. Changing a listing later must not rewrite earlier orders.</w:t>
      </w:r>
    </w:p>
    <w:p>
      <w:pPr>
        <w:pStyle w:val="Heading2"/>
      </w:pPr>
      <w:r>
        <w:t>Decisions for our next discussion</w:t>
      </w:r>
    </w:p>
    <w:p>
      <w:r>
        <w:t>Confirmed: most suppliers dispatch directly; AlphaZee may collect from nearby shops and arrange delivery. Confirmed: restricted supplier permissions and both fixed and custom POD. Open: shared shop stock, update frequency, reservation rules, mixed-supplier checkout, courier account ownership, COD settlement, delivery/RTO costs, and refunds. See the latest decision update.</w:t>
      </w:r>
    </w:p>
    <w:p>
      <w:pPr>
        <w:pStyle w:val="Heading2"/>
      </w:pPr>
      <w:r>
        <w:t>How we will maintain this record</w:t>
      </w:r>
    </w:p>
    <w:p>
      <w:r>
        <w:t>After each discussion, update this same document: record accepted decisions, retain unresolved questions, and label changed decisions with a date. Once the workflows and data are agreed, translate them into the database specification and IDE implementation prompt. Supplier portal and POD requirements do not lift the current migration pause.</w:t>
      </w:r>
    </w:p>
    <w:p>
      <w:r>
        <w:br w:type="page"/>
      </w:r>
    </w:p>
    <w:p>
      <w:pPr>
        <w:pStyle w:val="Heading1"/>
      </w:pPr>
      <w:r>
        <w:t>Decisions and recommendations on 10 October</w:t>
      </w:r>
    </w:p>
    <w:p>
      <w:pPr>
        <w:pStyle w:val="Heading2"/>
      </w:pPr>
      <w:r>
        <w:t>Fulfillment and shared stock</w:t>
      </w:r>
    </w:p>
    <w:p>
      <w:r>
        <w:t>Confirmed: support supplier dispatch and AlphaZee dispatch, with most orders dispatched by suppliers. Record the actual dispatch party and pickup/return addresses per shipment. Courier account ownership and COD recipient are separate decisions.</w:t>
      </w:r>
    </w:p>
    <w:p>
      <w:r>
        <w:t>Shared stock means the same garments can sell both in the physical shop and on AlphaZee. Example: the portal says 5 black medium shirts; a walk-in customer buys 2; AlphaZee must then reflect 3. Recommended: updates after physical sales, regular counts, and supplier confirmation before promising fulfillment. Alternatively negotiate stock reserved exclusively for AlphaZee. Neither arrangement is confirmed yet.</w:t>
      </w:r>
    </w:p>
    <w:p>
      <w:pPr>
        <w:pStyle w:val="Heading2"/>
      </w:pPr>
      <w:r>
        <w:t>Custom design work</w:t>
      </w:r>
    </w:p>
    <w:p>
      <w:r>
        <w:t>Recommended: a short free feasibility check, then an agreed paid design or artwork-repair service. State the deliverable, revision limit, fee, timing, cancellation terms, and whether the fee is credited toward printing. After payment, prepare a proof; obtain approval of the exact design version, size, color, and placement. Collect the agreed production balance before printing. Track design fees separately from garment and shipping charges. Advance payment for custom production is recommended, not yet confirmed.</w:t>
      </w:r>
    </w:p>
    <w:p>
      <w:pPr>
        <w:pStyle w:val="Heading2"/>
      </w:pPr>
      <w:r>
        <w:t>Mixed supplier checkout</w:t>
      </w:r>
    </w:p>
    <w:p>
      <w:r>
        <w:t>Proposed solution: one customer order containing separate shipment groups by dispatch origin and readiness. Show each parcel, delivery estimate, and shipping charge before confirmation. Each COD parcel collects only its allocated amount, never the full parent order total. Allocate discounts, prepaid amounts, cancellations and refunds consistently. Nearby items may be consolidated only when collection cost and timing justify it; POD may ship later. Launch restriction to one supplier remains an alternative, not an accepted decision.</w:t>
      </w:r>
    </w:p>
    <w:p>
      <w:pPr>
        <w:pStyle w:val="Heading2"/>
      </w:pPr>
      <w:r>
        <w:t>Courier and cash responsibility</w:t>
      </w:r>
    </w:p>
    <w:p>
      <w:r>
        <w:t>Recommended: ask for an AlphaZee courier account that accepts authorized supplier pickup locations and remits COD to AlphaZee. Supplier packs and hands over the parcel; AlphaZee handles booking, tracking, customer support and agreed supplier settlement. Availability of this arrangement must be confirmed with the courier. If a supplier uses its own account, agree a remittance deadline and reconcile each tracking number; otherwise AlphaZee risks chasing its margin.</w:t>
      </w:r>
    </w:p>
    <w:p>
      <w:r>
        <w:t>Negotiate responsibility before listing: wrong/defective goods attributable to the supplier, customer refusal/RTO, lost or damaged parcels, and post-delivery returns need distinct rules. Courier bills and supplier reimbursements are separate. AlphaZee should coordinate customer resolution while pursuing any agreed recovery. Keep a cash buffer because supplier payment may precede COD remittance.</w:t>
      </w:r>
    </w:p>
    <w:p>
      <w:r>
        <w:t>Courier check: Leopards describes Retail COD for low-volume sellers, branch booking and bank payouts, with weekly disbursements. This does not establish multi-supplier pickup support. Obtain a written quote covering actual parcel weight, locations, pickup authority, payout timing, deductions, return charges and claims. Source checked 10 October 2026: https://pk.leopardscourier.com/business/ecommerce-economy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