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Loan Portfolio Analysis Report</w:t>
      </w:r>
    </w:p>
    <w:p>
      <w:pPr>
        <w:pStyle w:val="Heading1"/>
      </w:pPr>
      <w:r>
        <w:t>Executive Summary</w:t>
      </w:r>
    </w:p>
    <w:p>
      <w:r>
        <w:br/>
        <w:t>Portfolio Overview:</w:t>
        <w:br/>
        <w:t>• Total loans analyzed: 242,375</w:t>
        <w:br/>
        <w:t>• Average loan amount: ₦38,948</w:t>
        <w:br/>
        <w:t>• Total portfolio value: ₦9,440,132,500</w:t>
        <w:br/>
        <w:t>• On-time payment rate: 83.1%</w:t>
        <w:br/>
        <w:t>• Current default rate: 21.2%</w:t>
        <w:br/>
        <w:br/>
        <w:t>Key Findings:</w:t>
        <w:br/>
        <w:t>• 0 missing values in critical fields require immediate attention</w:t>
        <w:br/>
        <w:t>• 1026 duplicate loan records identified</w:t>
        <w:br/>
        <w:t>• Geographic performance varies significantly across states</w:t>
        <w:br/>
        <w:t>• Risk scoring model shows limited predictive power</w:t>
        <w:br/>
        <w:t>• Data quality issues impact portfolio assessment accuracy</w:t>
        <w:br/>
      </w:r>
    </w:p>
    <w:p>
      <w:pPr>
        <w:pStyle w:val="Heading1"/>
      </w:pPr>
      <w:r>
        <w:t>Portfolio Performance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Loans</w:t>
            </w:r>
          </w:p>
        </w:tc>
        <w:tc>
          <w:tcPr>
            <w:tcW w:type="dxa" w:w="4320"/>
          </w:tcPr>
          <w:p>
            <w:r>
              <w:t>242,375</w:t>
            </w:r>
          </w:p>
        </w:tc>
      </w:tr>
      <w:tr>
        <w:tc>
          <w:tcPr>
            <w:tcW w:type="dxa" w:w="4320"/>
          </w:tcPr>
          <w:p>
            <w:r>
              <w:t>Average Loan Amount</w:t>
            </w:r>
          </w:p>
        </w:tc>
        <w:tc>
          <w:tcPr>
            <w:tcW w:type="dxa" w:w="4320"/>
          </w:tcPr>
          <w:p>
            <w:r>
              <w:t>₦38,948</w:t>
            </w:r>
          </w:p>
        </w:tc>
      </w:tr>
      <w:tr>
        <w:tc>
          <w:tcPr>
            <w:tcW w:type="dxa" w:w="4320"/>
          </w:tcPr>
          <w:p>
            <w:r>
              <w:t>Portfolio Value</w:t>
            </w:r>
          </w:p>
        </w:tc>
        <w:tc>
          <w:tcPr>
            <w:tcW w:type="dxa" w:w="4320"/>
          </w:tcPr>
          <w:p>
            <w:r>
              <w:t>₦9,440,132,500</w:t>
            </w:r>
          </w:p>
        </w:tc>
      </w:tr>
      <w:tr>
        <w:tc>
          <w:tcPr>
            <w:tcW w:type="dxa" w:w="4320"/>
          </w:tcPr>
          <w:p>
            <w:r>
              <w:t>On-time Payment Rate</w:t>
            </w:r>
          </w:p>
        </w:tc>
        <w:tc>
          <w:tcPr>
            <w:tcW w:type="dxa" w:w="4320"/>
          </w:tcPr>
          <w:p>
            <w:r>
              <w:t>83.1%</w:t>
            </w:r>
          </w:p>
        </w:tc>
      </w:tr>
      <w:tr>
        <w:tc>
          <w:tcPr>
            <w:tcW w:type="dxa" w:w="4320"/>
          </w:tcPr>
          <w:p>
            <w:r>
              <w:t>Default Rate</w:t>
            </w:r>
          </w:p>
        </w:tc>
        <w:tc>
          <w:tcPr>
            <w:tcW w:type="dxa" w:w="4320"/>
          </w:tcPr>
          <w:p>
            <w:r>
              <w:t>21.2%</w:t>
            </w:r>
          </w:p>
        </w:tc>
      </w:tr>
      <w:tr>
        <w:tc>
          <w:tcPr>
            <w:tcW w:type="dxa" w:w="4320"/>
          </w:tcPr>
          <w:p>
            <w:r>
              <w:t>Returning Customers</w:t>
            </w:r>
          </w:p>
        </w:tc>
        <w:tc>
          <w:tcPr>
            <w:tcW w:type="dxa" w:w="4320"/>
          </w:tcPr>
          <w:p>
            <w:r>
              <w:t>170,095</w:t>
            </w:r>
          </w:p>
        </w:tc>
      </w:tr>
      <w:tr>
        <w:tc>
          <w:tcPr>
            <w:tcW w:type="dxa" w:w="4320"/>
          </w:tcPr>
          <w:p>
            <w:r>
              <w:t>New Customers</w:t>
            </w:r>
          </w:p>
        </w:tc>
        <w:tc>
          <w:tcPr>
            <w:tcW w:type="dxa" w:w="4320"/>
          </w:tcPr>
          <w:p>
            <w:r>
              <w:t>72,280</w:t>
            </w:r>
          </w:p>
        </w:tc>
      </w:tr>
    </w:tbl>
    <w:p>
      <w:pPr>
        <w:pStyle w:val="Heading1"/>
      </w:pPr>
      <w:r>
        <w:t>Geographic Performance</w:t>
      </w:r>
    </w:p>
    <w:p>
      <w:r>
        <w:br/>
        <w:t>Top performing states by repayment rate:</w:t>
        <w:br/>
        <w:t>• zamfara: 100.0%</w:t>
        <w:br/>
        <w:t>• BAUCHI: 100.0%</w:t>
        <w:br/>
        <w:t>• EBONYI: 100.0%</w:t>
        <w:br/>
        <w:br/>
        <w:t>Lowest performing states:</w:t>
        <w:br/>
        <w:t>• kWARA: 0.0%</w:t>
        <w:br/>
        <w:t>• ZAMFARA: 0.0%</w:t>
        <w:br/>
      </w:r>
    </w:p>
    <w:p>
      <w:pPr>
        <w:pStyle w:val="Heading1"/>
      </w:pPr>
      <w:r>
        <w:t>Risk Score Analysis</w:t>
      </w:r>
    </w:p>
    <w:p>
      <w:r>
        <w:br/>
        <w:t>Risk quartile performance for returning customers:</w:t>
        <w:br/>
        <w:t>• Q1 (Lowest Risk): 83.7% repayment rate</w:t>
        <w:br/>
        <w:t xml:space="preserve">• Q2: 76.2% repayment rate  </w:t>
        <w:br/>
        <w:t>• Q3: 79.0% repayment rate</w:t>
        <w:br/>
        <w:t>• Q4 (Highest Risk): 76.0% repayment rate</w:t>
        <w:br/>
        <w:br/>
        <w:t>The current risk scoring model shows limited differentiation between risk segments.</w:t>
        <w:br/>
      </w:r>
    </w:p>
    <w:p>
      <w:pPr>
        <w:pStyle w:val="Heading1"/>
      </w:pPr>
      <w:r>
        <w:t>Data Quality Assessment</w:t>
      </w:r>
    </w:p>
    <w:p>
      <w:r>
        <w:br/>
        <w:t>Critical Issues Identified:</w:t>
        <w:br/>
        <w:t>• 0 missing values in essential fields</w:t>
        <w:br/>
        <w:t>• 1026 duplicate loan records</w:t>
        <w:br/>
        <w:t>• Date inconsistencies in disbursement and due date fields</w:t>
        <w:br/>
        <w:t>• Outliers detected in loan amounts and declared income</w:t>
        <w:br/>
        <w:br/>
        <w:t>Impact: These issues compromise portfolio risk assessment accuracy and regulatory reporting.</w:t>
        <w:br/>
      </w:r>
    </w:p>
    <w:p>
      <w:pPr>
        <w:pStyle w:val="Heading1"/>
      </w:pPr>
      <w:r>
        <w:t>Strategic Recommendations</w:t>
      </w:r>
    </w:p>
    <w:p>
      <w:r>
        <w:br/>
        <w:t>Immediate Actions:</w:t>
        <w:br/>
        <w:t>1. Implement data validation rules for loan origination</w:t>
        <w:br/>
        <w:t>2. Establish duplicate detection and prevention protocols</w:t>
        <w:br/>
        <w:t>3. Review and enhance risk scoring methodology</w:t>
        <w:br/>
        <w:t>4. Create data quality monitoring dashboard</w:t>
        <w:br/>
        <w:br/>
        <w:t>Medium-term Initiatives:</w:t>
        <w:br/>
        <w:t>5. Develop predictive default models using additional variables</w:t>
        <w:br/>
        <w:t>6. Implement geographic risk adjustments</w:t>
        <w:br/>
        <w:t>7. Establish automated data quality checks</w:t>
        <w:br/>
        <w:t>8. Create early warning systems for portfolio deterioration</w:t>
        <w:br/>
        <w:br/>
        <w:t>Long-term Strategy:</w:t>
        <w:br/>
        <w:t>9. Build comprehensive customer lifetime value models</w:t>
        <w:br/>
        <w:t>10. Implement dynamic pricing based on risk profiles</w:t>
        <w:br/>
        <w:t>11. Develop portfolio optimization algorithms</w:t>
        <w:br/>
        <w:t>12. Establish advanced analytics capabilities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