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3B82D4"/>
          <w:sz w:val="52"/>
        </w:rPr>
        <w:t>E-Commerce Order Cancellation</w:t>
        <w:br/>
        <w:t>and Return Analysis</w:t>
      </w:r>
    </w:p>
    <w:p>
      <w:pPr>
        <w:jc w:val="center"/>
      </w:pPr>
      <w:r>
        <w:rPr>
          <w:color w:val="57606A"/>
          <w:sz w:val="28"/>
        </w:rPr>
        <w:t>Comprehensive Data Analysis &amp; Machine Learning Report</w:t>
      </w:r>
    </w:p>
    <w:p/>
    <w:p>
      <w:pPr>
        <w:jc w:val="center"/>
      </w:pPr>
      <w:r>
        <w:rPr>
          <w:color w:val="57606A"/>
          <w:sz w:val="22"/>
        </w:rPr>
        <w:t>Dataset: 49,222 orders  |  9,820 customers  |  20 products</w:t>
      </w:r>
    </w:p>
    <w:p>
      <w:r>
        <w:br w:type="page"/>
      </w:r>
    </w:p>
    <w:p>
      <w:pPr>
        <w:pStyle w:val="Heading1"/>
      </w:pPr>
      <w:r>
        <w:rPr>
          <w:color w:val="3B82D4"/>
        </w:rPr>
        <w:t>1. Executive Summary</w:t>
      </w:r>
    </w:p>
    <w:p>
      <w:r>
        <w:rPr>
          <w:b w:val="0"/>
          <w:sz w:val="22"/>
        </w:rPr>
        <w:t>This report presents a complete analysis of 49,222 e-commerce orders. The dataset includes order details, customer demographics, product information, and payment records. The primary objectives are to understand the drivers of order cancellations and returns, identify actionable patterns, and build a machine-learning model capable of predicting whether an order will be cancelled or returned before fulfilment.</w:t>
      </w:r>
    </w:p>
    <w:p>
      <w:r>
        <w:rPr>
          <w:b/>
          <w:sz w:val="22"/>
        </w:rPr>
        <w:t>Key findings at a glance:</w:t>
      </w:r>
    </w:p>
    <w:p>
      <w:pPr>
        <w:pStyle w:val="ListBullet"/>
      </w:pPr>
      <w:r>
        <w:rPr>
          <w:sz w:val="22"/>
        </w:rPr>
        <w:t>Overall cancellation rate: 4.95%</w:t>
      </w:r>
    </w:p>
    <w:p>
      <w:pPr>
        <w:pStyle w:val="ListBullet"/>
      </w:pPr>
      <w:r>
        <w:rPr>
          <w:sz w:val="22"/>
        </w:rPr>
        <w:t>Overall return rate: 3.06%</w:t>
      </w:r>
    </w:p>
    <w:p>
      <w:pPr>
        <w:pStyle w:val="ListBullet"/>
      </w:pPr>
      <w:r>
        <w:rPr>
          <w:sz w:val="22"/>
        </w:rPr>
        <w:t>Total revenue from completed orders: $3,162,844.00</w:t>
      </w:r>
    </w:p>
    <w:p>
      <w:pPr>
        <w:pStyle w:val="ListBullet"/>
      </w:pPr>
      <w:r>
        <w:rPr>
          <w:sz w:val="22"/>
        </w:rPr>
        <w:t>Highest-cancellation product category: Accessories</w:t>
      </w:r>
    </w:p>
    <w:p>
      <w:pPr>
        <w:pStyle w:val="ListBullet"/>
      </w:pPr>
      <w:r>
        <w:rPr>
          <w:sz w:val="22"/>
        </w:rPr>
        <w:t>Highest-return product category: Accessories</w:t>
      </w:r>
    </w:p>
    <w:p>
      <w:pPr>
        <w:pStyle w:val="ListBullet"/>
      </w:pPr>
      <w:r>
        <w:rPr>
          <w:sz w:val="22"/>
        </w:rPr>
        <w:t>City with most cancellations: Tehran</w:t>
      </w:r>
    </w:p>
    <w:p>
      <w:pPr>
        <w:pStyle w:val="ListBullet"/>
      </w:pPr>
      <w:r>
        <w:rPr>
          <w:sz w:val="22"/>
        </w:rPr>
        <w:t>Payment method most associated with cancellations: Gateway</w:t>
      </w:r>
    </w:p>
    <w:p/>
    <w:p>
      <w:pPr>
        <w:pStyle w:val="Heading1"/>
      </w:pPr>
      <w:r>
        <w:rPr>
          <w:color w:val="3B82D4"/>
        </w:rPr>
        <w:t>2. Dataset Overview</w:t>
      </w:r>
    </w:p>
    <w:p>
      <w:r>
        <w:rPr>
          <w:b w:val="0"/>
          <w:sz w:val="22"/>
        </w:rPr>
        <w:t>The project uses five interrelated CSV files: orders (50,120 rows), customers (10,000 rows), products (20 products), payments (50,000 rows), and a pre-merged clean_final_data (49,222 rows) that combines all tables. The merged dataset contains 17 columns covering order IDs, dates, quantities, discounts, payment methods, statuses, customer demographics, product details, and computed sales values.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B82D4"/>
          </w:tcPr>
          <w:p>
            <w:r>
              <w:rPr>
                <w:b/>
                <w:color w:val="FFFFFF"/>
              </w:rPr>
              <w:t>File</w:t>
            </w:r>
          </w:p>
        </w:tc>
        <w:tc>
          <w:tcPr>
            <w:tcW w:type="dxa" w:w="2880"/>
            <w:shd w:val="clear" w:color="auto" w:fill="3B82D4"/>
          </w:tcPr>
          <w:p>
            <w:r>
              <w:rPr>
                <w:b/>
                <w:color w:val="FFFFFF"/>
              </w:rPr>
              <w:t>Rows</w:t>
            </w:r>
          </w:p>
        </w:tc>
        <w:tc>
          <w:tcPr>
            <w:tcW w:type="dxa" w:w="2880"/>
            <w:shd w:val="clear" w:color="auto" w:fill="3B82D4"/>
          </w:tcPr>
          <w:p>
            <w:r>
              <w:rPr>
                <w:b/>
                <w:color w:val="FFFFFF"/>
              </w:rPr>
              <w:t>Key Columns</w:t>
            </w:r>
          </w:p>
        </w:tc>
      </w:tr>
      <w:tr>
        <w:tc>
          <w:tcPr>
            <w:tcW w:type="dxa" w:w="2880"/>
          </w:tcPr>
          <w:p>
            <w:r>
              <w:t>orders.csv</w:t>
            </w:r>
          </w:p>
        </w:tc>
        <w:tc>
          <w:tcPr>
            <w:tcW w:type="dxa" w:w="2880"/>
          </w:tcPr>
          <w:p>
            <w:r>
              <w:t>50,120</w:t>
            </w:r>
          </w:p>
        </w:tc>
        <w:tc>
          <w:tcPr>
            <w:tcW w:type="dxa" w:w="2880"/>
          </w:tcPr>
          <w:p>
            <w:r>
              <w:t>OrderID, CustomerID, ProductID, Status, Discount, PaymentMethod</w:t>
            </w:r>
          </w:p>
        </w:tc>
      </w:tr>
      <w:tr>
        <w:tc>
          <w:tcPr>
            <w:tcW w:type="dxa" w:w="2880"/>
          </w:tcPr>
          <w:p>
            <w:r>
              <w:t>customers.csv</w:t>
            </w:r>
          </w:p>
        </w:tc>
        <w:tc>
          <w:tcPr>
            <w:tcW w:type="dxa" w:w="2880"/>
          </w:tcPr>
          <w:p>
            <w:r>
              <w:t>10,000</w:t>
            </w:r>
          </w:p>
        </w:tc>
        <w:tc>
          <w:tcPr>
            <w:tcW w:type="dxa" w:w="2880"/>
          </w:tcPr>
          <w:p>
            <w:r>
              <w:t>CustomerID, Age, City, SignupDate, CustomerSegment</w:t>
            </w:r>
          </w:p>
        </w:tc>
      </w:tr>
      <w:tr>
        <w:tc>
          <w:tcPr>
            <w:tcW w:type="dxa" w:w="2880"/>
          </w:tcPr>
          <w:p>
            <w:r>
              <w:t>products.csv</w:t>
            </w:r>
          </w:p>
        </w:tc>
        <w:tc>
          <w:tcPr>
            <w:tcW w:type="dxa" w:w="2880"/>
          </w:tcPr>
          <w:p>
            <w:r>
              <w:t>20</w:t>
            </w:r>
          </w:p>
        </w:tc>
        <w:tc>
          <w:tcPr>
            <w:tcW w:type="dxa" w:w="2880"/>
          </w:tcPr>
          <w:p>
            <w:r>
              <w:t>ProductID, ProductName, Category, UnitPrice</w:t>
            </w:r>
          </w:p>
        </w:tc>
      </w:tr>
      <w:tr>
        <w:tc>
          <w:tcPr>
            <w:tcW w:type="dxa" w:w="2880"/>
          </w:tcPr>
          <w:p>
            <w:r>
              <w:t>payments.csv</w:t>
            </w:r>
          </w:p>
        </w:tc>
        <w:tc>
          <w:tcPr>
            <w:tcW w:type="dxa" w:w="2880"/>
          </w:tcPr>
          <w:p>
            <w:r>
              <w:t>50,000</w:t>
            </w:r>
          </w:p>
        </w:tc>
        <w:tc>
          <w:tcPr>
            <w:tcW w:type="dxa" w:w="2880"/>
          </w:tcPr>
          <w:p>
            <w:r>
              <w:t>PaymentID, OrderID, PaymentDate, PaymentStatus</w:t>
            </w:r>
          </w:p>
        </w:tc>
      </w:tr>
      <w:tr>
        <w:tc>
          <w:tcPr>
            <w:tcW w:type="dxa" w:w="2880"/>
          </w:tcPr>
          <w:p>
            <w:r>
              <w:t>clean_final_data.csv</w:t>
            </w:r>
          </w:p>
        </w:tc>
        <w:tc>
          <w:tcPr>
            <w:tcW w:type="dxa" w:w="2880"/>
          </w:tcPr>
          <w:p>
            <w:r>
              <w:t>49,222</w:t>
            </w:r>
          </w:p>
        </w:tc>
        <w:tc>
          <w:tcPr>
            <w:tcW w:type="dxa" w:w="2880"/>
          </w:tcPr>
          <w:p>
            <w:r>
              <w:t>All merged columns + Sales, OrderValue</w:t>
            </w:r>
          </w:p>
        </w:tc>
      </w:tr>
    </w:tbl>
    <w:p/>
    <w:p>
      <w:pPr>
        <w:pStyle w:val="Heading1"/>
      </w:pPr>
      <w:r>
        <w:rPr>
          <w:color w:val="3B82D4"/>
        </w:rPr>
        <w:t>3. Data Cleaning &amp; Preprocessing</w:t>
      </w:r>
    </w:p>
    <w:p>
      <w:pPr>
        <w:pStyle w:val="ListBullet"/>
      </w:pPr>
      <w:r>
        <w:rPr>
          <w:sz w:val="22"/>
        </w:rPr>
        <w:t>Removed duplicate records.</w:t>
      </w:r>
    </w:p>
    <w:p>
      <w:pPr>
        <w:pStyle w:val="ListBullet"/>
      </w:pPr>
      <w:r>
        <w:rPr>
          <w:sz w:val="22"/>
        </w:rPr>
        <w:t>Imputed missing Age values with the column median.</w:t>
      </w:r>
    </w:p>
    <w:p>
      <w:pPr>
        <w:pStyle w:val="ListBullet"/>
      </w:pPr>
      <w:r>
        <w:rPr>
          <w:sz w:val="22"/>
        </w:rPr>
        <w:t>Filled missing Discount and Quantity values with 0 and 1 respectively.</w:t>
      </w:r>
    </w:p>
    <w:p>
      <w:pPr>
        <w:pStyle w:val="ListBullet"/>
      </w:pPr>
      <w:r>
        <w:rPr>
          <w:sz w:val="22"/>
        </w:rPr>
        <w:t>Normalised the Status column (strip whitespace, title case).</w:t>
      </w:r>
    </w:p>
    <w:p>
      <w:pPr>
        <w:pStyle w:val="ListBullet"/>
      </w:pPr>
      <w:r>
        <w:rPr>
          <w:sz w:val="22"/>
        </w:rPr>
        <w:t>Derived OrderYear, OrderMonth, and OrderDOW (day-of-week) from OrderDate.</w:t>
      </w:r>
    </w:p>
    <w:p>
      <w:pPr>
        <w:pStyle w:val="ListBullet"/>
      </w:pPr>
      <w:r>
        <w:rPr>
          <w:sz w:val="22"/>
        </w:rPr>
        <w:t>Computed Tenure as the number of days between SignupDate and OrderDate.</w:t>
      </w:r>
    </w:p>
    <w:p>
      <w:pPr>
        <w:pStyle w:val="ListBullet"/>
      </w:pPr>
      <w:r>
        <w:rPr>
          <w:sz w:val="22"/>
        </w:rPr>
        <w:t>Verified Sales / OrderValue columns for consistency with Quantity × UnitPrice × (1 − Discount%).</w:t>
      </w:r>
    </w:p>
    <w:p/>
    <w:p>
      <w:pPr>
        <w:pStyle w:val="Heading1"/>
      </w:pPr>
      <w:r>
        <w:rPr>
          <w:color w:val="3B82D4"/>
        </w:rPr>
        <w:t>4. Exploratory Data Analysis</w:t>
      </w:r>
    </w:p>
    <w:p>
      <w:pPr>
        <w:pStyle w:val="Heading2"/>
      </w:pPr>
      <w:r>
        <w:rPr>
          <w:color w:val="1F2328"/>
        </w:rPr>
        <w:t>Figure 1 – Order Status Distribution</w:t>
      </w:r>
    </w:p>
    <w:p>
      <w:r>
        <w:rPr>
          <w:b w:val="0"/>
          <w:sz w:val="22"/>
        </w:rPr>
        <w:t>The dataset contains 49,222 orders split across Completed (45,276), Cancelled (2,438), and Returned (1,508) statuses.</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order_status_distribution.png"/>
                    <pic:cNvPicPr/>
                  </pic:nvPicPr>
                  <pic:blipFill>
                    <a:blip r:embed="rId9"/>
                    <a:stretch>
                      <a:fillRect/>
                    </a:stretch>
                  </pic:blipFill>
                  <pic:spPr>
                    <a:xfrm>
                      <a:off x="0" y="0"/>
                      <a:ext cx="5029200" cy="3143250"/>
                    </a:xfrm>
                    <a:prstGeom prst="rect"/>
                  </pic:spPr>
                </pic:pic>
              </a:graphicData>
            </a:graphic>
          </wp:inline>
        </w:drawing>
      </w:r>
    </w:p>
    <w:p/>
    <w:p>
      <w:pPr>
        <w:pStyle w:val="Heading2"/>
      </w:pPr>
      <w:r>
        <w:rPr>
          <w:color w:val="1F2328"/>
        </w:rPr>
        <w:t>Figure 2 – Cancellation Rate by Category</w:t>
      </w:r>
    </w:p>
    <w:p>
      <w:r>
        <w:rPr>
          <w:b w:val="0"/>
          <w:sz w:val="22"/>
        </w:rPr>
        <w:t>The 'Accessories' category records the highest cancellation rate among all product categories.</w:t>
      </w:r>
    </w:p>
    <w:p>
      <w:pPr>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02_cancellation_by_category.png"/>
                    <pic:cNvPicPr/>
                  </pic:nvPicPr>
                  <pic:blipFill>
                    <a:blip r:embed="rId10"/>
                    <a:stretch>
                      <a:fillRect/>
                    </a:stretch>
                  </pic:blipFill>
                  <pic:spPr>
                    <a:xfrm>
                      <a:off x="0" y="0"/>
                      <a:ext cx="5029200" cy="2794000"/>
                    </a:xfrm>
                    <a:prstGeom prst="rect"/>
                  </pic:spPr>
                </pic:pic>
              </a:graphicData>
            </a:graphic>
          </wp:inline>
        </w:drawing>
      </w:r>
    </w:p>
    <w:p/>
    <w:p>
      <w:pPr>
        <w:pStyle w:val="Heading2"/>
      </w:pPr>
      <w:r>
        <w:rPr>
          <w:color w:val="1F2328"/>
        </w:rPr>
        <w:t>Figure 3 – Return Rate by Category</w:t>
      </w:r>
    </w:p>
    <w:p>
      <w:r>
        <w:rPr>
          <w:b w:val="0"/>
          <w:sz w:val="22"/>
        </w:rPr>
        <w:t>The 'Accessories' category has the highest return rate, suggesting potential quality or expectation mismatch issues.</w:t>
      </w:r>
    </w:p>
    <w:p>
      <w:pPr>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03_return_by_category.png"/>
                    <pic:cNvPicPr/>
                  </pic:nvPicPr>
                  <pic:blipFill>
                    <a:blip r:embed="rId11"/>
                    <a:stretch>
                      <a:fillRect/>
                    </a:stretch>
                  </pic:blipFill>
                  <pic:spPr>
                    <a:xfrm>
                      <a:off x="0" y="0"/>
                      <a:ext cx="5029200" cy="2794000"/>
                    </a:xfrm>
                    <a:prstGeom prst="rect"/>
                  </pic:spPr>
                </pic:pic>
              </a:graphicData>
            </a:graphic>
          </wp:inline>
        </w:drawing>
      </w:r>
    </w:p>
    <w:p/>
    <w:p>
      <w:pPr>
        <w:pStyle w:val="Heading2"/>
      </w:pPr>
      <w:r>
        <w:rPr>
          <w:color w:val="1F2328"/>
        </w:rPr>
        <w:t>Figure 4 – Monthly Order Volume</w:t>
      </w:r>
    </w:p>
    <w:p>
      <w:r>
        <w:rPr>
          <w:b w:val="0"/>
          <w:sz w:val="22"/>
        </w:rPr>
        <w:t>Order volumes show seasonal patterns with notable peaks during certain months, which correlates with promotional events.</w:t>
      </w:r>
    </w:p>
    <w:p>
      <w:pPr>
        <w:jc w:val="center"/>
      </w:pPr>
      <w:r>
        <w:drawing>
          <wp:inline xmlns:a="http://schemas.openxmlformats.org/drawingml/2006/main" xmlns:pic="http://schemas.openxmlformats.org/drawingml/2006/picture">
            <wp:extent cx="5029200" cy="2095500"/>
            <wp:docPr id="4" name="Picture 4"/>
            <wp:cNvGraphicFramePr>
              <a:graphicFrameLocks noChangeAspect="1"/>
            </wp:cNvGraphicFramePr>
            <a:graphic>
              <a:graphicData uri="http://schemas.openxmlformats.org/drawingml/2006/picture">
                <pic:pic>
                  <pic:nvPicPr>
                    <pic:cNvPr id="0" name="04_monthly_order_trends.png"/>
                    <pic:cNvPicPr/>
                  </pic:nvPicPr>
                  <pic:blipFill>
                    <a:blip r:embed="rId12"/>
                    <a:stretch>
                      <a:fillRect/>
                    </a:stretch>
                  </pic:blipFill>
                  <pic:spPr>
                    <a:xfrm>
                      <a:off x="0" y="0"/>
                      <a:ext cx="5029200" cy="2095500"/>
                    </a:xfrm>
                    <a:prstGeom prst="rect"/>
                  </pic:spPr>
                </pic:pic>
              </a:graphicData>
            </a:graphic>
          </wp:inline>
        </w:drawing>
      </w:r>
    </w:p>
    <w:p/>
    <w:p>
      <w:pPr>
        <w:pStyle w:val="Heading2"/>
      </w:pPr>
      <w:r>
        <w:rPr>
          <w:color w:val="1F2328"/>
        </w:rPr>
        <w:t>Figure 5 – Order Status by Payment Method</w:t>
      </w:r>
    </w:p>
    <w:p>
      <w:r>
        <w:rPr>
          <w:b w:val="0"/>
          <w:sz w:val="22"/>
        </w:rPr>
        <w:t>The 'Gateway' payment method is most associated with cancelled orders. Gateway and Wallet payments show the highest cancellation proportions.</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05_payment_method_vs_status.png"/>
                    <pic:cNvPicPr/>
                  </pic:nvPicPr>
                  <pic:blipFill>
                    <a:blip r:embed="rId13"/>
                    <a:stretch>
                      <a:fillRect/>
                    </a:stretch>
                  </pic:blipFill>
                  <pic:spPr>
                    <a:xfrm>
                      <a:off x="0" y="0"/>
                      <a:ext cx="5029200" cy="2514600"/>
                    </a:xfrm>
                    <a:prstGeom prst="rect"/>
                  </pic:spPr>
                </pic:pic>
              </a:graphicData>
            </a:graphic>
          </wp:inline>
        </w:drawing>
      </w:r>
    </w:p>
    <w:p/>
    <w:p>
      <w:pPr>
        <w:pStyle w:val="Heading2"/>
      </w:pPr>
      <w:r>
        <w:rPr>
          <w:color w:val="1F2328"/>
        </w:rPr>
        <w:t>Figure 6 – Cancellation Rate by Customer Segment</w:t>
      </w:r>
    </w:p>
    <w:p>
      <w:r>
        <w:rPr>
          <w:b w:val="0"/>
          <w:sz w:val="22"/>
        </w:rPr>
        <w:t>VIP customers show a lower cancellation rate compared to New and Regular customers, reflecting higher satisfaction or commitment levels.</w:t>
      </w:r>
    </w:p>
    <w:p>
      <w:pPr>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06_segment_cancellation_rate.png"/>
                    <pic:cNvPicPr/>
                  </pic:nvPicPr>
                  <pic:blipFill>
                    <a:blip r:embed="rId14"/>
                    <a:stretch>
                      <a:fillRect/>
                    </a:stretch>
                  </pic:blipFill>
                  <pic:spPr>
                    <a:xfrm>
                      <a:off x="0" y="0"/>
                      <a:ext cx="5029200" cy="3592286"/>
                    </a:xfrm>
                    <a:prstGeom prst="rect"/>
                  </pic:spPr>
                </pic:pic>
              </a:graphicData>
            </a:graphic>
          </wp:inline>
        </w:drawing>
      </w:r>
    </w:p>
    <w:p/>
    <w:p>
      <w:pPr>
        <w:pStyle w:val="Heading2"/>
      </w:pPr>
      <w:r>
        <w:rPr>
          <w:color w:val="1F2328"/>
        </w:rPr>
        <w:t>Figure 7 – Discount Distribution by Status</w:t>
      </w:r>
    </w:p>
    <w:p>
      <w:r>
        <w:rPr>
          <w:b w:val="0"/>
          <w:sz w:val="22"/>
        </w:rPr>
        <w:t>Cancelled orders tend to have slightly higher discount values, suggesting impulse purchases driven by promotions that are later reconsidered.</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discount_vs_status.png"/>
                    <pic:cNvPicPr/>
                  </pic:nvPicPr>
                  <pic:blipFill>
                    <a:blip r:embed="rId15"/>
                    <a:stretch>
                      <a:fillRect/>
                    </a:stretch>
                  </pic:blipFill>
                  <pic:spPr>
                    <a:xfrm>
                      <a:off x="0" y="0"/>
                      <a:ext cx="5029200" cy="3143250"/>
                    </a:xfrm>
                    <a:prstGeom prst="rect"/>
                  </pic:spPr>
                </pic:pic>
              </a:graphicData>
            </a:graphic>
          </wp:inline>
        </w:drawing>
      </w:r>
    </w:p>
    <w:p/>
    <w:p>
      <w:pPr>
        <w:pStyle w:val="Heading2"/>
      </w:pPr>
      <w:r>
        <w:rPr>
          <w:color w:val="1F2328"/>
        </w:rPr>
        <w:t>Figure 8 – Age Distribution by Status</w:t>
      </w:r>
    </w:p>
    <w:p>
      <w:r>
        <w:rPr>
          <w:b w:val="0"/>
          <w:sz w:val="22"/>
        </w:rPr>
        <w:t>Age distributions are relatively uniform across statuses, indicating age is not a strong standalone predictor of cancellation or return.</w:t>
      </w:r>
    </w:p>
    <w:p>
      <w:pPr>
        <w:jc w:val="center"/>
      </w:pPr>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08_age_distribution_by_status.png"/>
                    <pic:cNvPicPr/>
                  </pic:nvPicPr>
                  <pic:blipFill>
                    <a:blip r:embed="rId16"/>
                    <a:stretch>
                      <a:fillRect/>
                    </a:stretch>
                  </pic:blipFill>
                  <pic:spPr>
                    <a:xfrm>
                      <a:off x="0" y="0"/>
                      <a:ext cx="5029200" cy="2794000"/>
                    </a:xfrm>
                    <a:prstGeom prst="rect"/>
                  </pic:spPr>
                </pic:pic>
              </a:graphicData>
            </a:graphic>
          </wp:inline>
        </w:drawing>
      </w:r>
    </w:p>
    <w:p/>
    <w:p>
      <w:pPr>
        <w:pStyle w:val="Heading2"/>
      </w:pPr>
      <w:r>
        <w:rPr>
          <w:color w:val="1F2328"/>
        </w:rPr>
        <w:t>Figure 9 – Top 10 Cities by Cancellation</w:t>
      </w:r>
    </w:p>
    <w:p>
      <w:r>
        <w:rPr>
          <w:b w:val="0"/>
          <w:sz w:val="22"/>
        </w:rPr>
        <w:t>Tehran accounts for the highest absolute number of cancellations, consistent with it being the largest customer base city.</w:t>
      </w:r>
    </w:p>
    <w:p>
      <w:pPr>
        <w:jc w:val="center"/>
      </w:pPr>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0" name="09_top_cities_cancellation.png"/>
                    <pic:cNvPicPr/>
                  </pic:nvPicPr>
                  <pic:blipFill>
                    <a:blip r:embed="rId17"/>
                    <a:stretch>
                      <a:fillRect/>
                    </a:stretch>
                  </pic:blipFill>
                  <pic:spPr>
                    <a:xfrm>
                      <a:off x="0" y="0"/>
                      <a:ext cx="5029200" cy="2794000"/>
                    </a:xfrm>
                    <a:prstGeom prst="rect"/>
                  </pic:spPr>
                </pic:pic>
              </a:graphicData>
            </a:graphic>
          </wp:inline>
        </w:drawing>
      </w:r>
    </w:p>
    <w:p/>
    <w:p>
      <w:pPr>
        <w:pStyle w:val="Heading2"/>
      </w:pPr>
      <w:r>
        <w:rPr>
          <w:color w:val="1F2328"/>
        </w:rPr>
        <w:t>Figure 10 – Correlation Heatmap</w:t>
      </w:r>
    </w:p>
    <w:p>
      <w:r>
        <w:rPr>
          <w:b w:val="0"/>
          <w:sz w:val="22"/>
        </w:rPr>
        <w:t>Discount and Sales show a moderate negative correlation, as expected. Tenure has weak correlation with most other features.</w:t>
      </w:r>
    </w:p>
    <w:p>
      <w:pPr>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10_correlation_heatmap.png"/>
                    <pic:cNvPicPr/>
                  </pic:nvPicPr>
                  <pic:blipFill>
                    <a:blip r:embed="rId18"/>
                    <a:stretch>
                      <a:fillRect/>
                    </a:stretch>
                  </pic:blipFill>
                  <pic:spPr>
                    <a:xfrm>
                      <a:off x="0" y="0"/>
                      <a:ext cx="5029200" cy="3771900"/>
                    </a:xfrm>
                    <a:prstGeom prst="rect"/>
                  </pic:spPr>
                </pic:pic>
              </a:graphicData>
            </a:graphic>
          </wp:inline>
        </w:drawing>
      </w:r>
    </w:p>
    <w:p/>
    <w:p>
      <w:pPr>
        <w:pStyle w:val="Heading1"/>
      </w:pPr>
      <w:r>
        <w:rPr>
          <w:color w:val="3B82D4"/>
        </w:rPr>
        <w:t>5. Machine Learning Model</w:t>
      </w:r>
    </w:p>
    <w:p>
      <w:r>
        <w:rPr>
          <w:b w:val="0"/>
          <w:sz w:val="22"/>
        </w:rPr>
        <w:t>The prediction target is binary: class 1 represents orders that were Cancelled or Returned; class 0 represents orders that were Completed. Four models were trained and evaluated: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3B82D4"/>
          </w:tcPr>
          <w:p>
            <w:r>
              <w:rPr>
                <w:b/>
                <w:color w:val="FFFFFF"/>
              </w:rPr>
              <w:t>Model</w:t>
            </w:r>
          </w:p>
        </w:tc>
        <w:tc>
          <w:tcPr>
            <w:tcW w:type="dxa" w:w="2880"/>
            <w:shd w:val="clear" w:color="auto" w:fill="3B82D4"/>
          </w:tcPr>
          <w:p>
            <w:r>
              <w:rPr>
                <w:b/>
                <w:color w:val="FFFFFF"/>
              </w:rPr>
              <w:t>Approach</w:t>
            </w:r>
          </w:p>
        </w:tc>
        <w:tc>
          <w:tcPr>
            <w:tcW w:type="dxa" w:w="2880"/>
            <w:shd w:val="clear" w:color="auto" w:fill="3B82D4"/>
          </w:tcPr>
          <w:p>
            <w:r>
              <w:rPr>
                <w:b/>
                <w:color w:val="FFFFFF"/>
              </w:rPr>
              <w:t>Notes</w:t>
            </w:r>
          </w:p>
        </w:tc>
      </w:tr>
      <w:tr>
        <w:tc>
          <w:tcPr>
            <w:tcW w:type="dxa" w:w="2880"/>
          </w:tcPr>
          <w:p>
            <w:r>
              <w:t>Logistic Regression</w:t>
            </w:r>
          </w:p>
        </w:tc>
        <w:tc>
          <w:tcPr>
            <w:tcW w:type="dxa" w:w="2880"/>
          </w:tcPr>
          <w:p>
            <w:r>
              <w:t>Linear baseline</w:t>
            </w:r>
          </w:p>
        </w:tc>
        <w:tc>
          <w:tcPr>
            <w:tcW w:type="dxa" w:w="2880"/>
          </w:tcPr>
          <w:p>
            <w:r>
              <w:t>Fast; interpretable coefficients</w:t>
            </w:r>
          </w:p>
        </w:tc>
      </w:tr>
      <w:tr>
        <w:tc>
          <w:tcPr>
            <w:tcW w:type="dxa" w:w="2880"/>
          </w:tcPr>
          <w:p>
            <w:r>
              <w:t>Random Forest</w:t>
            </w:r>
          </w:p>
        </w:tc>
        <w:tc>
          <w:tcPr>
            <w:tcW w:type="dxa" w:w="2880"/>
          </w:tcPr>
          <w:p>
            <w:r>
              <w:t>Bagged decision trees</w:t>
            </w:r>
          </w:p>
        </w:tc>
        <w:tc>
          <w:tcPr>
            <w:tcW w:type="dxa" w:w="2880"/>
          </w:tcPr>
          <w:p>
            <w:r>
              <w:t>Handles non-linearity; feature importances</w:t>
            </w:r>
          </w:p>
        </w:tc>
      </w:tr>
      <w:tr>
        <w:tc>
          <w:tcPr>
            <w:tcW w:type="dxa" w:w="2880"/>
          </w:tcPr>
          <w:p>
            <w:r>
              <w:t>Gradient Boosting</w:t>
            </w:r>
          </w:p>
        </w:tc>
        <w:tc>
          <w:tcPr>
            <w:tcW w:type="dxa" w:w="2880"/>
          </w:tcPr>
          <w:p>
            <w:r>
              <w:t>Sequential boosting</w:t>
            </w:r>
          </w:p>
        </w:tc>
        <w:tc>
          <w:tcPr>
            <w:tcW w:type="dxa" w:w="2880"/>
          </w:tcPr>
          <w:p>
            <w:r>
              <w:t>High accuracy; slower training</w:t>
            </w:r>
          </w:p>
        </w:tc>
      </w:tr>
      <w:tr>
        <w:tc>
          <w:tcPr>
            <w:tcW w:type="dxa" w:w="2880"/>
          </w:tcPr>
          <w:p>
            <w:r>
              <w:t>XGBoost</w:t>
            </w:r>
          </w:p>
        </w:tc>
        <w:tc>
          <w:tcPr>
            <w:tcW w:type="dxa" w:w="2880"/>
          </w:tcPr>
          <w:p>
            <w:r>
              <w:t>Optimised gradient boost</w:t>
            </w:r>
          </w:p>
        </w:tc>
        <w:tc>
          <w:tcPr>
            <w:tcW w:type="dxa" w:w="2880"/>
          </w:tcPr>
          <w:p>
            <w:r>
              <w:t>Best generalisation; used in production</w:t>
            </w:r>
          </w:p>
        </w:tc>
      </w:tr>
    </w:tbl>
    <w:p/>
    <w:p>
      <w:r>
        <w:rPr>
          <w:b w:val="0"/>
          <w:sz w:val="22"/>
        </w:rPr>
        <w:t>SMOTE (Synthetic Minority Over-sampling Technique) was applied to address class imbalance before splitting the data into 80% training / 20% test sets. Features were standardised using StandardScaler. The best-performing model (XGBoost) was saved as a joblib bundle together with the fitted scaler and label encoders.</w:t>
      </w:r>
    </w:p>
    <w:p>
      <w:pPr>
        <w:pStyle w:val="Heading2"/>
      </w:pPr>
      <w:r>
        <w:rPr>
          <w:color w:val="1F2328"/>
        </w:rPr>
        <w:t>Figure 11 – Confusion Matrix (Best Model)</w:t>
      </w:r>
    </w:p>
    <w:p>
      <w:pPr>
        <w:jc w:val="center"/>
      </w:pPr>
      <w:r>
        <w:drawing>
          <wp:inline xmlns:a="http://schemas.openxmlformats.org/drawingml/2006/main" xmlns:pic="http://schemas.openxmlformats.org/drawingml/2006/picture">
            <wp:extent cx="5029200" cy="4191000"/>
            <wp:docPr id="11" name="Picture 11"/>
            <wp:cNvGraphicFramePr>
              <a:graphicFrameLocks noChangeAspect="1"/>
            </wp:cNvGraphicFramePr>
            <a:graphic>
              <a:graphicData uri="http://schemas.openxmlformats.org/drawingml/2006/picture">
                <pic:pic>
                  <pic:nvPicPr>
                    <pic:cNvPr id="0" name="11_confusion_matrix.png"/>
                    <pic:cNvPicPr/>
                  </pic:nvPicPr>
                  <pic:blipFill>
                    <a:blip r:embed="rId19"/>
                    <a:stretch>
                      <a:fillRect/>
                    </a:stretch>
                  </pic:blipFill>
                  <pic:spPr>
                    <a:xfrm>
                      <a:off x="0" y="0"/>
                      <a:ext cx="5029200" cy="4191000"/>
                    </a:xfrm>
                    <a:prstGeom prst="rect"/>
                  </pic:spPr>
                </pic:pic>
              </a:graphicData>
            </a:graphic>
          </wp:inline>
        </w:drawing>
      </w:r>
    </w:p>
    <w:p/>
    <w:p>
      <w:pPr>
        <w:pStyle w:val="Heading2"/>
      </w:pPr>
      <w:r>
        <w:rPr>
          <w:color w:val="1F2328"/>
        </w:rPr>
        <w:t>Figure 12 – ROC Curves – All Models</w:t>
      </w:r>
    </w:p>
    <w:p>
      <w:pPr>
        <w:jc w:val="center"/>
      </w:pPr>
      <w:r>
        <w:drawing>
          <wp:inline xmlns:a="http://schemas.openxmlformats.org/drawingml/2006/main" xmlns:pic="http://schemas.openxmlformats.org/drawingml/2006/picture">
            <wp:extent cx="5029200" cy="3771900"/>
            <wp:docPr id="12" name="Picture 12"/>
            <wp:cNvGraphicFramePr>
              <a:graphicFrameLocks noChangeAspect="1"/>
            </wp:cNvGraphicFramePr>
            <a:graphic>
              <a:graphicData uri="http://schemas.openxmlformats.org/drawingml/2006/picture">
                <pic:pic>
                  <pic:nvPicPr>
                    <pic:cNvPr id="0" name="12_roc_curves.png"/>
                    <pic:cNvPicPr/>
                  </pic:nvPicPr>
                  <pic:blipFill>
                    <a:blip r:embed="rId20"/>
                    <a:stretch>
                      <a:fillRect/>
                    </a:stretch>
                  </pic:blipFill>
                  <pic:spPr>
                    <a:xfrm>
                      <a:off x="0" y="0"/>
                      <a:ext cx="5029200" cy="3771900"/>
                    </a:xfrm>
                    <a:prstGeom prst="rect"/>
                  </pic:spPr>
                </pic:pic>
              </a:graphicData>
            </a:graphic>
          </wp:inline>
        </w:drawing>
      </w:r>
    </w:p>
    <w:p/>
    <w:p>
      <w:pPr>
        <w:pStyle w:val="Heading2"/>
      </w:pPr>
      <w:r>
        <w:rPr>
          <w:color w:val="1F2328"/>
        </w:rPr>
        <w:t>Figure 13 – Feature Importances</w:t>
      </w:r>
    </w:p>
    <w:p>
      <w:pPr>
        <w:jc w:val="center"/>
      </w:pPr>
      <w:r>
        <w:drawing>
          <wp:inline xmlns:a="http://schemas.openxmlformats.org/drawingml/2006/main" xmlns:pic="http://schemas.openxmlformats.org/drawingml/2006/picture">
            <wp:extent cx="5029200" cy="2794000"/>
            <wp:docPr id="13" name="Picture 13"/>
            <wp:cNvGraphicFramePr>
              <a:graphicFrameLocks noChangeAspect="1"/>
            </wp:cNvGraphicFramePr>
            <a:graphic>
              <a:graphicData uri="http://schemas.openxmlformats.org/drawingml/2006/picture">
                <pic:pic>
                  <pic:nvPicPr>
                    <pic:cNvPr id="0" name="13_feature_importance.png"/>
                    <pic:cNvPicPr/>
                  </pic:nvPicPr>
                  <pic:blipFill>
                    <a:blip r:embed="rId21"/>
                    <a:stretch>
                      <a:fillRect/>
                    </a:stretch>
                  </pic:blipFill>
                  <pic:spPr>
                    <a:xfrm>
                      <a:off x="0" y="0"/>
                      <a:ext cx="5029200" cy="2794000"/>
                    </a:xfrm>
                    <a:prstGeom prst="rect"/>
                  </pic:spPr>
                </pic:pic>
              </a:graphicData>
            </a:graphic>
          </wp:inline>
        </w:drawing>
      </w:r>
    </w:p>
    <w:p/>
    <w:p>
      <w:pPr>
        <w:pStyle w:val="Heading1"/>
      </w:pPr>
      <w:r>
        <w:rPr>
          <w:color w:val="3B82D4"/>
        </w:rPr>
        <w:t>6. Business Recommendations</w:t>
      </w:r>
    </w:p>
    <w:p>
      <w:pPr>
        <w:pStyle w:val="ListBullet"/>
      </w:pPr>
      <w:r>
        <w:rPr>
          <w:sz w:val="22"/>
        </w:rPr>
        <w:t>Target 'Accessories' category orders for proactive customer outreach before dispatch to reduce cancellations.</w:t>
      </w:r>
    </w:p>
    <w:p>
      <w:pPr>
        <w:pStyle w:val="ListBullet"/>
      </w:pPr>
      <w:r>
        <w:rPr>
          <w:sz w:val="22"/>
        </w:rPr>
        <w:t>Investigate product quality and packaging in the 'Accessories' category.</w:t>
      </w:r>
    </w:p>
    <w:p>
      <w:pPr>
        <w:pStyle w:val="ListBullet"/>
      </w:pPr>
      <w:r>
        <w:rPr>
          <w:sz w:val="22"/>
        </w:rPr>
        <w:t>Review the 'Gateway' payment flow for friction points that may lead to order abandonment.</w:t>
      </w:r>
    </w:p>
    <w:p>
      <w:pPr>
        <w:pStyle w:val="ListBullet"/>
      </w:pPr>
      <w:r>
        <w:rPr>
          <w:sz w:val="22"/>
        </w:rPr>
        <w:t>Focus retention programmes on New and Regular segments, which show higher cancellation rates than VIP customers.</w:t>
      </w:r>
    </w:p>
    <w:p>
      <w:pPr>
        <w:pStyle w:val="ListBullet"/>
      </w:pPr>
      <w:r>
        <w:rPr>
          <w:sz w:val="22"/>
        </w:rPr>
        <w:t>Deploy the ML prediction model at order placement to flag high-risk orders for intervention.</w:t>
      </w:r>
    </w:p>
    <w:p>
      <w:pPr>
        <w:pStyle w:val="ListBullet"/>
      </w:pPr>
      <w:r>
        <w:rPr>
          <w:sz w:val="22"/>
        </w:rPr>
        <w:t>Monitor monthly order trends to align inventory and support staffing with demand peaks.</w:t>
      </w:r>
    </w:p>
    <w:p>
      <w:pPr>
        <w:pStyle w:val="ListBullet"/>
      </w:pPr>
      <w:r>
        <w:rPr>
          <w:sz w:val="22"/>
        </w:rPr>
        <w:t>Consider revising high-discount promotions that attract low-commitment buyers.</w:t>
      </w:r>
    </w:p>
    <w:p/>
    <w:p>
      <w:pPr>
        <w:pStyle w:val="Heading1"/>
      </w:pPr>
      <w:r>
        <w:rPr>
          <w:color w:val="3B82D4"/>
        </w:rPr>
        <w:t>7. Technical Architecture</w:t>
      </w:r>
    </w:p>
    <w:p>
      <w:r>
        <w:rPr>
          <w:b w:val="0"/>
          <w:sz w:val="22"/>
        </w:rPr>
        <w:t>The project is structured as a full-stack data science application:</w:t>
        <w:br/>
        <w:br/>
        <w:t>• model.py / train_model.py  – Data pipeline, EDA, feature engineering, model training.</w:t>
        <w:br/>
        <w:t>• app.py  – Flask REST API exposing /api/stats, /api/predict, /api/batch_predict, /api/category_stats, /api/monthly_trends.</w:t>
        <w:br/>
        <w:t>• frontend/index.html  – Single-page dashboard consuming the API via Chart.js.</w:t>
        <w:br/>
        <w:t>• generate_report.py  – Produces this Word document and the HTML report.</w:t>
        <w:br/>
        <w:t>• model/ecommerce_order_model.pkl  – Serialised model bundle (model + scaler + encoders).</w:t>
      </w:r>
    </w:p>
    <w:p>
      <w:r>
        <w:br w:type="page"/>
      </w:r>
    </w:p>
    <w:p>
      <w:pPr>
        <w:jc w:val="center"/>
      </w:pPr>
      <w:r>
        <w:rPr>
          <w:b/>
          <w:color w:val="57606A"/>
          <w:sz w:val="26"/>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