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8"/>
          <w:szCs w:val="28"/>
        </w:rPr>
        <w:t xml:space="preserve">Noise-Aware Hybrid Variational Quantum Classifier with Adaptive Feature Encoding for NISQ Devices</w:t>
      </w:r>
    </w:p>
    <w:p>
      <w:pPr>
        <w:spacing w:after="60" w:before="0"/>
        <w:jc w:val="center"/>
      </w:pPr>
      <w:r>
        <w:rPr>
          <w:rFonts w:ascii="Times New Roman" w:cs="Times New Roman" w:eastAsia="Times New Roman" w:hAnsi="Times New Roman"/>
          <w:b/>
          <w:bCs/>
          <w:color w:val="000000"/>
          <w:sz w:val="22"/>
          <w:szCs w:val="22"/>
        </w:rPr>
        <w:t xml:space="preserve">Report 3: Implementation and Experimental Results</w:t>
      </w:r>
    </w:p>
    <w:p>
      <w:pPr>
        <w:spacing w:after="40" w:before="100"/>
        <w:jc w:val="center"/>
      </w:pPr>
      <w:r>
        <w:rPr>
          <w:rFonts w:ascii="Times New Roman" w:cs="Times New Roman" w:eastAsia="Times New Roman" w:hAnsi="Times New Roman"/>
          <w:b/>
          <w:bCs/>
          <w:color w:val="000000"/>
          <w:sz w:val="20"/>
          <w:szCs w:val="20"/>
        </w:rPr>
        <w:t xml:space="preserve">Syed Saad Kabeer</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bCs/>
          <w:color w:val="000000"/>
          <w:sz w:val="20"/>
          <w:szCs w:val="20"/>
        </w:rPr>
        <w:t xml:space="preserve">Arsalan Mateen</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b/>
          <w:bCs/>
          <w:color w:val="000000"/>
          <w:sz w:val="20"/>
          <w:szCs w:val="20"/>
        </w:rPr>
        <w:t xml:space="preserve">Uzair Ahmed</w:t>
      </w:r>
    </w:p>
    <w:p>
      <w:pPr>
        <w:spacing w:after="40" w:before="0"/>
        <w:jc w:val="center"/>
      </w:pPr>
      <w:r>
        <w:rPr>
          <w:rFonts w:ascii="Times New Roman" w:cs="Times New Roman" w:eastAsia="Times New Roman" w:hAnsi="Times New Roman"/>
          <w:color w:val="000000"/>
          <w:sz w:val="18"/>
          <w:szCs w:val="18"/>
        </w:rPr>
        <w:t xml:space="preserve">Department of Computer Science, National University of Computer and Emerging Sciences</w:t>
      </w:r>
    </w:p>
    <w:p>
      <w:pPr>
        <w:spacing w:after="40" w:before="0"/>
        <w:jc w:val="center"/>
      </w:pPr>
      <w:r>
        <w:rPr>
          <w:rFonts w:ascii="Times New Roman" w:cs="Times New Roman" w:eastAsia="Times New Roman" w:hAnsi="Times New Roman"/>
          <w:color w:val="000000"/>
          <w:sz w:val="18"/>
          <w:szCs w:val="18"/>
        </w:rPr>
        <w:t xml:space="preserve">FAST-NUCES, Peshawar Campus, Pakistan</w:t>
      </w:r>
    </w:p>
    <w:p>
      <w:pPr>
        <w:spacing w:after="40" w:before="0"/>
        <w:jc w:val="center"/>
      </w:pPr>
      <w:r>
        <w:rPr>
          <w:rFonts w:ascii="Times New Roman" w:cs="Times New Roman" w:eastAsia="Times New Roman" w:hAnsi="Times New Roman"/>
          <w:color w:val="000000"/>
          <w:sz w:val="18"/>
          <w:szCs w:val="18"/>
        </w:rPr>
        <w:t xml:space="preserve">Supervisor: Maqsood Muhammad Khan</w:t>
      </w:r>
    </w:p>
    <w:p>
      <w:pPr>
        <w:spacing w:after="60" w:before="80"/>
        <w:jc w:val="both"/>
      </w:pPr>
      <w:r>
        <w:rPr>
          <w:rFonts w:ascii="Times New Roman" w:cs="Times New Roman" w:eastAsia="Times New Roman" w:hAnsi="Times New Roman"/>
          <w:b/>
          <w:bCs/>
          <w:sz w:val="18"/>
          <w:szCs w:val="18"/>
        </w:rPr>
        <w:t xml:space="preserve">Abstract — </w:t>
      </w:r>
      <w:r>
        <w:rPr>
          <w:rFonts w:ascii="Times New Roman" w:cs="Times New Roman" w:eastAsia="Times New Roman" w:hAnsi="Times New Roman"/>
          <w:sz w:val="18"/>
          <w:szCs w:val="18"/>
        </w:rPr>
        <w:t xml:space="preserve">This report presents the full implementation and experimental evaluation of the Noise-Aware Hybrid Variational Quantum Classifier (NA-HVQC), as proposed in Report 2. The system integrates adaptive quantum feature encoding with a shallow variational quantum circuit trained via the COBYLA optimizer. Three model configurations were evaluated on the Iris dataset using Qiskit Aer simulation: (i) a Baseline VQC with random untrained parameters, (ii) a COBYLA-trained VQC, and (iii) a Hybrid Quantum-Classical model combining quantum feature extraction with a classical softmax layer. Results demonstrate a clear performance progression, with the Hybrid model achieving 90% accuracy and a weighted F1-score of 0.90, compared to 30% and 50% for the Baseline and Trained VQC respectively. The implementation confirms that hybrid quantum-classical architectures significantly outperform standalone quantum classifiers on NISQ-compatible simulations.</w:t>
      </w:r>
    </w:p>
    <w:p>
      <w:pPr>
        <w:spacing w:after="80" w:before="0"/>
        <w:jc w:val="both"/>
      </w:pPr>
      <w:r>
        <w:rPr>
          <w:rFonts w:ascii="Times New Roman" w:cs="Times New Roman" w:eastAsia="Times New Roman" w:hAnsi="Times New Roman"/>
          <w:b/>
          <w:bCs/>
          <w:sz w:val="18"/>
          <w:szCs w:val="18"/>
        </w:rPr>
        <w:t xml:space="preserve">Keywords — </w:t>
      </w:r>
      <w:r>
        <w:rPr>
          <w:rFonts w:ascii="Times New Roman" w:cs="Times New Roman" w:eastAsia="Times New Roman" w:hAnsi="Times New Roman"/>
          <w:sz w:val="18"/>
          <w:szCs w:val="18"/>
        </w:rPr>
        <w:t xml:space="preserve">Variational Quantum Classifier, Quantum Machine Learning, NISQ, Adaptive Feature Encoding, COBYLA, Qiskit, Hybrid Model, Iris Dataset</w:t>
      </w:r>
    </w:p>
    <w:p>
      <w:pPr>
        <w:spacing w:after="0" w:before="180"/>
      </w:pPr>
    </w:p>
    <w:p>
      <w:pPr>
        <w:spacing w:after="100" w:before="200"/>
      </w:pPr>
      <w:r>
        <w:rPr>
          <w:rFonts w:ascii="Times New Roman" w:cs="Times New Roman" w:eastAsia="Times New Roman" w:hAnsi="Times New Roman"/>
          <w:b/>
          <w:bCs/>
          <w:color w:val="000000"/>
          <w:sz w:val="20"/>
          <w:szCs w:val="20"/>
        </w:rPr>
        <w:t xml:space="preserve">I. INTRODUCTION</w:t>
      </w:r>
    </w:p>
    <w:p>
      <w:pPr>
        <w:spacing w:after="60" w:before="60"/>
        <w:jc w:val="both"/>
      </w:pPr>
      <w:r>
        <w:rPr>
          <w:rFonts w:ascii="Times New Roman" w:cs="Times New Roman" w:eastAsia="Times New Roman" w:hAnsi="Times New Roman"/>
          <w:color w:val="000000"/>
          <w:sz w:val="20"/>
          <w:szCs w:val="20"/>
        </w:rPr>
        <w:t xml:space="preserve">This report constitutes the third and final deliverable of the Quantum Machine Learning (QML) course project, following the literature survey (Report 1) and proposed methodology (Report 2). The objective of this phase was to implement, simulate, and evaluate the Noise-Aware Hybrid Variational Quantum Classifier (NA-HVQC) architecture designed in Report 2 using real quantum simulation tools.</w:t>
      </w:r>
    </w:p>
    <w:p>
      <w:pPr>
        <w:spacing w:after="60" w:before="60"/>
        <w:jc w:val="both"/>
      </w:pPr>
      <w:r>
        <w:rPr>
          <w:rFonts w:ascii="Times New Roman" w:cs="Times New Roman" w:eastAsia="Times New Roman" w:hAnsi="Times New Roman"/>
          <w:color w:val="000000"/>
          <w:sz w:val="20"/>
          <w:szCs w:val="20"/>
        </w:rPr>
        <w:t xml:space="preserve">The NA-HVQC was implemented using Qiskit, the industry-standard open-source quantum computing framework developed by IBM. Quantum circuit simulation was performed using Qiskit Aer, providing a high-fidelity local quantum simulator. The classical preprocessing pipeline and optimization infrastructure were built using scikit-learn and SciPy respectively.</w:t>
      </w:r>
    </w:p>
    <w:p>
      <w:pPr>
        <w:spacing w:after="60" w:before="60"/>
        <w:jc w:val="both"/>
      </w:pPr>
      <w:r>
        <w:rPr>
          <w:rFonts w:ascii="Times New Roman" w:cs="Times New Roman" w:eastAsia="Times New Roman" w:hAnsi="Times New Roman"/>
          <w:color w:val="000000"/>
          <w:sz w:val="20"/>
          <w:szCs w:val="20"/>
        </w:rPr>
        <w:t xml:space="preserve">Three distinct model configurations were implemented and evaluated to establish a progressive performance baseline:</w:t>
      </w:r>
    </w:p>
    <w:p>
      <w:pPr>
        <w:pStyle w:val="ListParagraph"/>
        <w:numPr>
          <w:ilvl w:val="0"/>
          <w:numId w:val="2"/>
        </w:numPr>
        <w:spacing w:after="40" w:before="40"/>
      </w:pPr>
      <w:r>
        <w:rPr>
          <w:rFonts w:ascii="Times New Roman" w:cs="Times New Roman" w:eastAsia="Times New Roman" w:hAnsi="Times New Roman"/>
          <w:b/>
          <w:bCs/>
          <w:color w:val="000000"/>
          <w:sz w:val="20"/>
          <w:szCs w:val="20"/>
        </w:rPr>
        <w:t xml:space="preserve">Baseline VQC: </w:t>
      </w:r>
      <w:r>
        <w:rPr>
          <w:rFonts w:ascii="Times New Roman" w:cs="Times New Roman" w:eastAsia="Times New Roman" w:hAnsi="Times New Roman"/>
          <w:color w:val="000000"/>
          <w:sz w:val="20"/>
          <w:szCs w:val="20"/>
        </w:rPr>
        <w:t xml:space="preserve">Untrained quantum circuit with random parameters, evaluated immediately to establish a random-prediction floor.</w:t>
      </w:r>
    </w:p>
    <w:p>
      <w:pPr>
        <w:pStyle w:val="ListParagraph"/>
        <w:numPr>
          <w:ilvl w:val="0"/>
          <w:numId w:val="2"/>
        </w:numPr>
        <w:spacing w:after="40" w:before="40"/>
      </w:pPr>
      <w:r>
        <w:rPr>
          <w:rFonts w:ascii="Times New Roman" w:cs="Times New Roman" w:eastAsia="Times New Roman" w:hAnsi="Times New Roman"/>
          <w:b/>
          <w:bCs/>
          <w:color w:val="000000"/>
          <w:sz w:val="20"/>
          <w:szCs w:val="20"/>
        </w:rPr>
        <w:t xml:space="preserve">Trained VQC: </w:t>
      </w:r>
      <w:r>
        <w:rPr>
          <w:rFonts w:ascii="Times New Roman" w:cs="Times New Roman" w:eastAsia="Times New Roman" w:hAnsi="Times New Roman"/>
          <w:color w:val="000000"/>
          <w:sz w:val="20"/>
          <w:szCs w:val="20"/>
        </w:rPr>
        <w:t xml:space="preserve">Quantum circuit with parameters optimized using the COBYLA classical optimizer over 100 iterations.</w:t>
      </w:r>
    </w:p>
    <w:p>
      <w:pPr>
        <w:pStyle w:val="ListParagraph"/>
        <w:numPr>
          <w:ilvl w:val="0"/>
          <w:numId w:val="2"/>
        </w:numPr>
        <w:spacing w:after="40" w:before="40"/>
      </w:pPr>
      <w:r>
        <w:rPr>
          <w:rFonts w:ascii="Times New Roman" w:cs="Times New Roman" w:eastAsia="Times New Roman" w:hAnsi="Times New Roman"/>
          <w:b/>
          <w:bCs/>
          <w:color w:val="000000"/>
          <w:sz w:val="20"/>
          <w:szCs w:val="20"/>
        </w:rPr>
        <w:t xml:space="preserve">Hybrid Quantum-Softmax Model: </w:t>
      </w:r>
      <w:r>
        <w:rPr>
          <w:rFonts w:ascii="Times New Roman" w:cs="Times New Roman" w:eastAsia="Times New Roman" w:hAnsi="Times New Roman"/>
          <w:color w:val="000000"/>
          <w:sz w:val="20"/>
          <w:szCs w:val="20"/>
        </w:rPr>
        <w:t xml:space="preserve">Quantum circuit used as a feature transformer; extracted Pauli-Z expectation values are passed into a classical Logistic Regression (softmax) classifier.</w:t>
      </w:r>
    </w:p>
    <w:p>
      <w:pPr>
        <w:spacing w:after="60" w:before="60"/>
        <w:jc w:val="both"/>
      </w:pPr>
      <w:r>
        <w:rPr>
          <w:rFonts w:ascii="Times New Roman" w:cs="Times New Roman" w:eastAsia="Times New Roman" w:hAnsi="Times New Roman"/>
          <w:color w:val="000000"/>
          <w:sz w:val="20"/>
          <w:szCs w:val="20"/>
        </w:rPr>
        <w:t xml:space="preserve">All experiments were conducted on the Iris dataset, a standard multi-class benchmark with 150 samples across 3 classes. The dataset was preprocessed using Principal Component Analysis (PCA) for dimensionality reduction and Min-Max normalization to [0, π] for quantum gate compatibility, consistent with the design described in Report 2.</w:t>
      </w:r>
    </w:p>
    <w:p>
      <w:pPr>
        <w:spacing w:after="0" w:before="160"/>
      </w:pPr>
    </w:p>
    <w:p>
      <w:pPr>
        <w:spacing w:after="100" w:before="200"/>
      </w:pPr>
      <w:r>
        <w:rPr>
          <w:rFonts w:ascii="Times New Roman" w:cs="Times New Roman" w:eastAsia="Times New Roman" w:hAnsi="Times New Roman"/>
          <w:b/>
          <w:bCs/>
          <w:color w:val="000000"/>
          <w:sz w:val="20"/>
          <w:szCs w:val="20"/>
        </w:rPr>
        <w:t xml:space="preserve">II. IMPLEMENTATION DETAILS</w:t>
      </w:r>
    </w:p>
    <w:p>
      <w:pPr>
        <w:spacing w:after="80" w:before="140"/>
      </w:pPr>
      <w:r>
        <w:rPr>
          <w:rFonts w:ascii="Times New Roman" w:cs="Times New Roman" w:eastAsia="Times New Roman" w:hAnsi="Times New Roman"/>
          <w:b/>
          <w:bCs/>
          <w:sz w:val="20"/>
          <w:szCs w:val="20"/>
        </w:rPr>
        <w:t xml:space="preserve">A. Development Environment and Tools</w:t>
      </w:r>
    </w:p>
    <w:p>
      <w:pPr>
        <w:spacing w:after="60" w:before="60"/>
        <w:jc w:val="both"/>
      </w:pPr>
      <w:r>
        <w:rPr>
          <w:rFonts w:ascii="Times New Roman" w:cs="Times New Roman" w:eastAsia="Times New Roman" w:hAnsi="Times New Roman"/>
          <w:color w:val="000000"/>
          <w:sz w:val="20"/>
          <w:szCs w:val="20"/>
        </w:rPr>
        <w:t xml:space="preserve">The implementation was developed using Python 3.11 within an Anaconda virtual environment. The following primary libraries and versions were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580"/>
        <w:gridCol w:w="4000"/>
      </w:tblGrid>
      <w:tr>
        <w:tc>
          <w:tcPr>
            <w:tcW w:type="dxa" w:w="350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Library / Tool</w:t>
            </w:r>
          </w:p>
        </w:tc>
        <w:tc>
          <w:tcPr>
            <w:tcW w:type="dxa" w:w="258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Version</w:t>
            </w:r>
          </w:p>
        </w:tc>
        <w:tc>
          <w:tcPr>
            <w:tcW w:type="dxa" w:w="400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Purpose</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Qiskit</w:t>
            </w:r>
          </w:p>
        </w:tc>
        <w:tc>
          <w:tcPr>
            <w:tcW w:type="dxa" w:w="25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1.x</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Quantum circuit construction</w:t>
            </w:r>
          </w:p>
        </w:tc>
      </w:tr>
      <w:tr>
        <w:tc>
          <w:tcPr>
            <w:tcW w:type="dxa" w:w="35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Qiskit Aer</w:t>
            </w:r>
          </w:p>
        </w:tc>
        <w:tc>
          <w:tcPr>
            <w:tcW w:type="dxa" w:w="258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0.14+</w:t>
            </w:r>
          </w:p>
        </w:tc>
        <w:tc>
          <w:tcPr>
            <w:tcW w:type="dxa" w:w="4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Local quantum simulation</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scikit-learn</w:t>
            </w:r>
          </w:p>
        </w:tc>
        <w:tc>
          <w:tcPr>
            <w:tcW w:type="dxa" w:w="25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1.3+</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Preprocessing, evaluation, classical ML</w:t>
            </w:r>
          </w:p>
        </w:tc>
      </w:tr>
      <w:tr>
        <w:tc>
          <w:tcPr>
            <w:tcW w:type="dxa" w:w="35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SciPy</w:t>
            </w:r>
          </w:p>
        </w:tc>
        <w:tc>
          <w:tcPr>
            <w:tcW w:type="dxa" w:w="258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1.11+</w:t>
            </w:r>
          </w:p>
        </w:tc>
        <w:tc>
          <w:tcPr>
            <w:tcW w:type="dxa" w:w="4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COBYLA optimizer</w:t>
            </w:r>
          </w:p>
        </w:tc>
      </w:tr>
      <w:tr>
        <w:tc>
          <w:tcPr>
            <w:tcW w:type="dxa" w:w="3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NumPy</w:t>
            </w:r>
          </w:p>
        </w:tc>
        <w:tc>
          <w:tcPr>
            <w:tcW w:type="dxa" w:w="25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1.26+</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Numerical computations</w:t>
            </w:r>
          </w:p>
        </w:tc>
      </w:tr>
      <w:tr>
        <w:tc>
          <w:tcPr>
            <w:tcW w:type="dxa" w:w="35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Matplotlib</w:t>
            </w:r>
          </w:p>
        </w:tc>
        <w:tc>
          <w:tcPr>
            <w:tcW w:type="dxa" w:w="258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3.8+</w:t>
            </w:r>
          </w:p>
        </w:tc>
        <w:tc>
          <w:tcPr>
            <w:tcW w:type="dxa" w:w="40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Results visualization</w:t>
            </w:r>
          </w:p>
        </w:tc>
      </w:tr>
    </w:tbl>
    <w:p>
      <w:pPr>
        <w:spacing w:after="120" w:before="60"/>
        <w:jc w:val="center"/>
      </w:pPr>
      <w:r>
        <w:rPr>
          <w:rFonts w:ascii="Times New Roman" w:cs="Times New Roman" w:eastAsia="Times New Roman" w:hAnsi="Times New Roman"/>
          <w:sz w:val="18"/>
          <w:szCs w:val="18"/>
        </w:rPr>
        <w:t xml:space="preserve">Table I: Implementation Tools and Libraries</w:t>
      </w:r>
    </w:p>
    <w:p>
      <w:pPr>
        <w:spacing w:after="80" w:before="140"/>
      </w:pPr>
      <w:r>
        <w:rPr>
          <w:rFonts w:ascii="Times New Roman" w:cs="Times New Roman" w:eastAsia="Times New Roman" w:hAnsi="Times New Roman"/>
          <w:b/>
          <w:bCs/>
          <w:sz w:val="20"/>
          <w:szCs w:val="20"/>
        </w:rPr>
        <w:t xml:space="preserve">B. Classical Preprocessing Pipeline</w:t>
      </w:r>
    </w:p>
    <w:p>
      <w:pPr>
        <w:spacing w:after="60" w:before="60"/>
        <w:jc w:val="both"/>
      </w:pPr>
      <w:r>
        <w:rPr>
          <w:rFonts w:ascii="Times New Roman" w:cs="Times New Roman" w:eastAsia="Times New Roman" w:hAnsi="Times New Roman"/>
          <w:color w:val="000000"/>
          <w:sz w:val="20"/>
          <w:szCs w:val="20"/>
        </w:rPr>
        <w:t xml:space="preserve">The preprocessing pipeline follows the design specified in Report 2. Raw Iris dataset features were loaded from sklearn.datasets and processed in four sequential steps:</w:t>
      </w:r>
    </w:p>
    <w:p>
      <w:pPr>
        <w:spacing w:after="60" w:before="60"/>
        <w:jc w:val="both"/>
      </w:pPr>
      <w:r>
        <w:rPr>
          <w:rFonts w:ascii="Times New Roman" w:cs="Times New Roman" w:eastAsia="Times New Roman" w:hAnsi="Times New Roman"/>
          <w:color w:val="000000"/>
          <w:sz w:val="20"/>
          <w:szCs w:val="20"/>
        </w:rPr>
        <w:t xml:space="preserve">(1) PCA Dimensionality Reduction: Principal Component Analysis was applied to reduce the 4-dimensional Iris feature space to exactly 4 principal components, matching the 4-qubit circuit configuration. The cumulative explained variance ratio was computed and retained for adaptive encoding selection.</w:t>
      </w:r>
    </w:p>
    <w:p>
      <w:pPr>
        <w:spacing w:after="60" w:before="60"/>
        <w:jc w:val="both"/>
      </w:pPr>
      <w:r>
        <w:rPr>
          <w:rFonts w:ascii="Times New Roman" w:cs="Times New Roman" w:eastAsia="Times New Roman" w:hAnsi="Times New Roman"/>
          <w:color w:val="000000"/>
          <w:sz w:val="20"/>
          <w:szCs w:val="20"/>
        </w:rPr>
        <w:t xml:space="preserve">(2) Feature Normalization: Features were scaled to the range [0, π] using Min-Max scaling. This normalization is critical for correct operation of rotation gates Ry(θ) and Rz(θ), which use angular parameters.</w:t>
      </w:r>
    </w:p>
    <w:p>
      <w:pPr>
        <w:spacing w:after="60" w:before="60"/>
        <w:jc w:val="both"/>
      </w:pPr>
      <w:r>
        <w:rPr>
          <w:rFonts w:ascii="Times New Roman" w:cs="Times New Roman" w:eastAsia="Times New Roman" w:hAnsi="Times New Roman"/>
          <w:color w:val="000000"/>
          <w:sz w:val="20"/>
          <w:szCs w:val="20"/>
        </w:rPr>
        <w:t xml:space="preserve">(3) Train-Test Split: An 80/20 stratified split was applied (random_state=42), producing 120 training samples and 30 test samples with balanced class representation.</w:t>
      </w:r>
    </w:p>
    <w:p>
      <w:pPr>
        <w:spacing w:after="60" w:before="60"/>
        <w:jc w:val="both"/>
      </w:pPr>
      <w:r>
        <w:rPr>
          <w:rFonts w:ascii="Times New Roman" w:cs="Times New Roman" w:eastAsia="Times New Roman" w:hAnsi="Times New Roman"/>
          <w:color w:val="000000"/>
          <w:sz w:val="20"/>
          <w:szCs w:val="20"/>
        </w:rPr>
        <w:t xml:space="preserve">(4) Variance Ratio Computation: The sum of explained variance ratios from PCA was computed to drive the adaptive encoding selection (threshold: 0.85).</w:t>
      </w:r>
    </w:p>
    <w:p>
      <w:pPr>
        <w:spacing w:after="80" w:before="140"/>
      </w:pPr>
      <w:r>
        <w:rPr>
          <w:rFonts w:ascii="Times New Roman" w:cs="Times New Roman" w:eastAsia="Times New Roman" w:hAnsi="Times New Roman"/>
          <w:b/>
          <w:bCs/>
          <w:sz w:val="20"/>
          <w:szCs w:val="20"/>
        </w:rPr>
        <w:t xml:space="preserve">C. Quantum Circuit Architecture</w:t>
      </w:r>
    </w:p>
    <w:p>
      <w:pPr>
        <w:spacing w:after="60" w:before="60"/>
        <w:jc w:val="both"/>
      </w:pPr>
      <w:r>
        <w:rPr>
          <w:rFonts w:ascii="Times New Roman" w:cs="Times New Roman" w:eastAsia="Times New Roman" w:hAnsi="Times New Roman"/>
          <w:color w:val="000000"/>
          <w:sz w:val="20"/>
          <w:szCs w:val="20"/>
        </w:rPr>
        <w:t xml:space="preserve">The full VQC circuit consists of three stages executed sequentially for each input sample:</w:t>
      </w:r>
    </w:p>
    <w:p>
      <w:pPr>
        <w:spacing w:after="60" w:before="60"/>
        <w:jc w:val="both"/>
      </w:pPr>
      <w:r>
        <w:rPr>
          <w:rFonts w:ascii="Times New Roman" w:cs="Times New Roman" w:eastAsia="Times New Roman" w:hAnsi="Times New Roman"/>
          <w:color w:val="000000"/>
          <w:sz w:val="20"/>
          <w:szCs w:val="20"/>
        </w:rPr>
        <w:t xml:space="preserve">Stage 1 — Adaptive Feature Encoding: Based on the PCA variance ratio, the system selects between Angle Encoding and Pauli-Z Feature Map encoding. For the Iris dataset, PCA produces a variance ratio exceeding 0.85; however, Angle Encoding was enforced for all experiments to maintain circuit shallowness and NISQ compatibility, consistent with the noise-aware design principle.</w:t>
      </w:r>
    </w:p>
    <w:p>
      <w:pPr>
        <w:spacing w:after="60" w:before="60"/>
        <w:jc w:val="both"/>
      </w:pPr>
      <w:r>
        <w:rPr>
          <w:rFonts w:ascii="Times New Roman" w:cs="Times New Roman" w:eastAsia="Times New Roman" w:hAnsi="Times New Roman"/>
          <w:color w:val="000000"/>
          <w:sz w:val="20"/>
          <w:szCs w:val="20"/>
        </w:rPr>
        <w:t xml:space="preserve">In Angle Encoding, each of the 4 PCA-reduced features x_i is encoded as a single-qubit Ry rotation:</w:t>
      </w:r>
    </w:p>
    <w:p>
      <w:pPr>
        <w:spacing w:after="80" w:before="80"/>
        <w:jc w:val="center"/>
      </w:pPr>
      <w:r>
        <w:rPr>
          <w:rFonts w:ascii="Times New Roman" w:cs="Times New Roman" w:eastAsia="Times New Roman" w:hAnsi="Times New Roman"/>
          <w:sz w:val="20"/>
          <w:szCs w:val="20"/>
        </w:rPr>
        <w:t xml:space="preserve">|ψₓ⟩ = ⊗ᵢ Ry(xᵢ)|0⟩  where  xᵢ ∈ [0, π]</w:t>
      </w:r>
    </w:p>
    <w:p>
      <w:pPr>
        <w:spacing w:after="60" w:before="60"/>
        <w:jc w:val="both"/>
      </w:pPr>
      <w:r>
        <w:rPr>
          <w:rFonts w:ascii="Times New Roman" w:cs="Times New Roman" w:eastAsia="Times New Roman" w:hAnsi="Times New Roman"/>
          <w:color w:val="000000"/>
          <w:sz w:val="20"/>
          <w:szCs w:val="20"/>
        </w:rPr>
        <w:t xml:space="preserve">Stage 2 — Variational Ansatz: Three variational layers are applied, each comprising per-qubit Ry(θ) and Rz(θ) rotation gates followed by linear CNOT entanglement. For a 4-qubit, 3-layer circuit, the total parameter count is 4 × 2 × 3 = 24 trainable parameters.</w:t>
      </w:r>
    </w:p>
    <w:p>
      <w:pPr>
        <w:spacing w:after="60" w:before="60"/>
        <w:jc w:val="both"/>
      </w:pPr>
      <w:r>
        <w:rPr>
          <w:rFonts w:ascii="Times New Roman" w:cs="Times New Roman" w:eastAsia="Times New Roman" w:hAnsi="Times New Roman"/>
          <w:color w:val="000000"/>
          <w:sz w:val="20"/>
          <w:szCs w:val="20"/>
        </w:rPr>
        <w:t xml:space="preserve">Stage 3 — Measurement: All qubits are measured in the computational basis. With 1024–2048 shots per circuit execution, the measurement counts are converted to Pauli-Z expectation values per qubit, which serve as quantum feature vectors for classification.</w:t>
      </w:r>
    </w:p>
    <w:p>
      <w:pPr>
        <w:spacing w:after="80" w:before="140"/>
      </w:pPr>
      <w:r>
        <w:rPr>
          <w:rFonts w:ascii="Times New Roman" w:cs="Times New Roman" w:eastAsia="Times New Roman" w:hAnsi="Times New Roman"/>
          <w:b/>
          <w:bCs/>
          <w:sz w:val="20"/>
          <w:szCs w:val="20"/>
        </w:rPr>
        <w:t xml:space="preserve">D. Training Strategy — COBYLA Optimization</w:t>
      </w:r>
    </w:p>
    <w:p>
      <w:pPr>
        <w:spacing w:after="60" w:before="60"/>
        <w:jc w:val="both"/>
      </w:pPr>
      <w:r>
        <w:rPr>
          <w:rFonts w:ascii="Times New Roman" w:cs="Times New Roman" w:eastAsia="Times New Roman" w:hAnsi="Times New Roman"/>
          <w:color w:val="000000"/>
          <w:sz w:val="20"/>
          <w:szCs w:val="20"/>
        </w:rPr>
        <w:t xml:space="preserve">The COBYLA (Constrained Optimization by Linear Approximation) optimizer was selected for parameter training, consistent with Report 2 and the approach validated by Yin et al. [1]. COBYLA requires only one loss function evaluation per iteration, making it computationally feasible for quantum simulation where each circuit evaluation is expensive.</w:t>
      </w:r>
    </w:p>
    <w:p>
      <w:pPr>
        <w:spacing w:after="60" w:before="60"/>
        <w:jc w:val="both"/>
      </w:pPr>
      <w:r>
        <w:rPr>
          <w:rFonts w:ascii="Times New Roman" w:cs="Times New Roman" w:eastAsia="Times New Roman" w:hAnsi="Times New Roman"/>
          <w:color w:val="000000"/>
          <w:sz w:val="20"/>
          <w:szCs w:val="20"/>
        </w:rPr>
        <w:t xml:space="preserve">During training, a cross-entropy loss function was minimized over a subset of 50 training samples per iteration (for computational tractability). The objective function for each iteration involved: (i) circuit reconstruction with current parameters, (ii) simulation with 2048 shots, (iii) Pauli-Z expectation extraction, (iv) softmax probability computation, and (v) cross-entropy loss calculation.</w:t>
      </w:r>
    </w:p>
    <w:p>
      <w:pPr>
        <w:spacing w:after="60" w:before="60"/>
        <w:jc w:val="both"/>
      </w:pPr>
      <w:r>
        <w:rPr>
          <w:rFonts w:ascii="Times New Roman" w:cs="Times New Roman" w:eastAsia="Times New Roman" w:hAnsi="Times New Roman"/>
          <w:color w:val="000000"/>
          <w:sz w:val="20"/>
          <w:szCs w:val="20"/>
        </w:rPr>
        <w:t xml:space="preserve">Training ran for a maximum of 100 COBYLA iterations. The loss function convergence was monitored and printed at each iteration to verify optimization progress.</w:t>
      </w:r>
    </w:p>
    <w:p>
      <w:pPr>
        <w:spacing w:after="80" w:before="140"/>
      </w:pPr>
      <w:r>
        <w:rPr>
          <w:rFonts w:ascii="Times New Roman" w:cs="Times New Roman" w:eastAsia="Times New Roman" w:hAnsi="Times New Roman"/>
          <w:b/>
          <w:bCs/>
          <w:sz w:val="20"/>
          <w:szCs w:val="20"/>
        </w:rPr>
        <w:t xml:space="preserve">E. Hybrid Quantum-Classical Model</w:t>
      </w:r>
    </w:p>
    <w:p>
      <w:pPr>
        <w:spacing w:after="60" w:before="60"/>
        <w:jc w:val="both"/>
      </w:pPr>
      <w:r>
        <w:rPr>
          <w:rFonts w:ascii="Times New Roman" w:cs="Times New Roman" w:eastAsia="Times New Roman" w:hAnsi="Times New Roman"/>
          <w:color w:val="000000"/>
          <w:sz w:val="20"/>
          <w:szCs w:val="20"/>
        </w:rPr>
        <w:t xml:space="preserve">The strongest model configuration uses the quantum circuit purely as a feature transformation layer. Fixed random circuit parameters (seed=42) are used to transform training and test samples through the quantum circuit. The extracted 4-dimensional Pauli-Z expectation vectors serve as quantum-enhanced features, which are then standardized using StandardScaler and passed to a classical Logistic Regression classifier with multinomial softmax output (max_iter=1000).</w:t>
      </w:r>
    </w:p>
    <w:p>
      <w:pPr>
        <w:spacing w:after="60" w:before="60"/>
        <w:jc w:val="both"/>
      </w:pPr>
      <w:r>
        <w:rPr>
          <w:rFonts w:ascii="Times New Roman" w:cs="Times New Roman" w:eastAsia="Times New Roman" w:hAnsi="Times New Roman"/>
          <w:color w:val="000000"/>
          <w:sz w:val="20"/>
          <w:szCs w:val="20"/>
        </w:rPr>
        <w:t xml:space="preserve">This architecture leverages quantum non-linearity for feature transformation while using a well-optimized classical optimizer for the final classification step, circumventing the barren plateau and noise sensitivity limitations of fully quantum optimization.</w:t>
      </w:r>
    </w:p>
    <w:p>
      <w:pPr>
        <w:spacing w:after="0" w:before="160"/>
      </w:pPr>
    </w:p>
    <w:p>
      <w:pPr>
        <w:spacing w:after="100" w:before="200"/>
      </w:pPr>
      <w:r>
        <w:rPr>
          <w:rFonts w:ascii="Times New Roman" w:cs="Times New Roman" w:eastAsia="Times New Roman" w:hAnsi="Times New Roman"/>
          <w:b/>
          <w:bCs/>
          <w:color w:val="000000"/>
          <w:sz w:val="20"/>
          <w:szCs w:val="20"/>
        </w:rPr>
        <w:t xml:space="preserve">III. EXPERIMENTAL SETUP</w:t>
      </w:r>
    </w:p>
    <w:p>
      <w:pPr>
        <w:spacing w:after="80" w:before="140"/>
      </w:pPr>
      <w:r>
        <w:rPr>
          <w:rFonts w:ascii="Times New Roman" w:cs="Times New Roman" w:eastAsia="Times New Roman" w:hAnsi="Times New Roman"/>
          <w:b/>
          <w:bCs/>
          <w:sz w:val="20"/>
          <w:szCs w:val="20"/>
        </w:rPr>
        <w:t xml:space="preserve">A. Dataset: Iris</w:t>
      </w:r>
    </w:p>
    <w:p>
      <w:pPr>
        <w:spacing w:after="60" w:before="60"/>
        <w:jc w:val="both"/>
      </w:pPr>
      <w:r>
        <w:rPr>
          <w:rFonts w:ascii="Times New Roman" w:cs="Times New Roman" w:eastAsia="Times New Roman" w:hAnsi="Times New Roman"/>
          <w:color w:val="000000"/>
          <w:sz w:val="20"/>
          <w:szCs w:val="20"/>
        </w:rPr>
        <w:t xml:space="preserve">All experiments were conducted on the Iris dataset, a standard benchmark for multi-class classification. The dataset contains 150 samples uniformly distributed across 3 classes: Iris-setosa (class 0), Iris-versicolor (class 1), and Iris-virginica (class 2). Each sample has 4 features: sepal length, sepal width, petal length, and petal width. After stratified 80/20 splitting, the training set contained 120 samples and the test set contained 30 samples (10 per class).</w:t>
      </w:r>
    </w:p>
    <w:p>
      <w:pPr>
        <w:spacing w:after="80" w:before="140"/>
      </w:pPr>
      <w:r>
        <w:rPr>
          <w:rFonts w:ascii="Times New Roman" w:cs="Times New Roman" w:eastAsia="Times New Roman" w:hAnsi="Times New Roman"/>
          <w:b/>
          <w:bCs/>
          <w:sz w:val="20"/>
          <w:szCs w:val="20"/>
        </w:rPr>
        <w:t xml:space="preserve">B. Circuit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Parameter</w:t>
            </w:r>
          </w:p>
        </w:tc>
        <w:tc>
          <w:tcPr>
            <w:tcW w:type="dxa" w:w="504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Value</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Number of Qubits</w:t>
            </w:r>
          </w:p>
        </w:tc>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4</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Number of Variational Layers</w:t>
            </w:r>
          </w:p>
        </w:tc>
        <w:tc>
          <w:tcPr>
            <w:tcW w:type="dxa" w:w="504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3</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Feature Encoding</w:t>
            </w:r>
          </w:p>
        </w:tc>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Angle Encoding (Ry gates)</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Entanglement Topology</w:t>
            </w:r>
          </w:p>
        </w:tc>
        <w:tc>
          <w:tcPr>
            <w:tcW w:type="dxa" w:w="504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Linear CNOT chain</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Trainable Parameters</w:t>
            </w:r>
          </w:p>
        </w:tc>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24 (4 qubits × 2 rotations × 3 layers)</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Simulator</w:t>
            </w:r>
          </w:p>
        </w:tc>
        <w:tc>
          <w:tcPr>
            <w:tcW w:type="dxa" w:w="504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Qiskit AerSimulator</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Measurement Shots</w:t>
            </w:r>
          </w:p>
        </w:tc>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2048 per circuit</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Optimizer</w:t>
            </w:r>
          </w:p>
        </w:tc>
        <w:tc>
          <w:tcPr>
            <w:tcW w:type="dxa" w:w="504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COBYLA</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Maximum Optimizer Iterations</w:t>
            </w:r>
          </w:p>
        </w:tc>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100</w:t>
            </w:r>
          </w:p>
        </w:tc>
      </w:tr>
      <w:tr>
        <w:tc>
          <w:tcPr>
            <w:tcW w:type="dxa" w:w="504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Training Subset per Iteration</w:t>
            </w:r>
          </w:p>
        </w:tc>
        <w:tc>
          <w:tcPr>
            <w:tcW w:type="dxa" w:w="504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50 samples</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Classical Classifier (Hybrid)</w:t>
            </w:r>
          </w:p>
        </w:tc>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Logistic Regression (multinomial)</w:t>
            </w:r>
          </w:p>
        </w:tc>
      </w:tr>
    </w:tbl>
    <w:p>
      <w:pPr>
        <w:spacing w:after="120" w:before="60"/>
        <w:jc w:val="center"/>
      </w:pPr>
      <w:r>
        <w:rPr>
          <w:rFonts w:ascii="Times New Roman" w:cs="Times New Roman" w:eastAsia="Times New Roman" w:hAnsi="Times New Roman"/>
          <w:sz w:val="18"/>
          <w:szCs w:val="18"/>
        </w:rPr>
        <w:t xml:space="preserve">Table II: Experimental Configuration</w:t>
      </w:r>
    </w:p>
    <w:p>
      <w:pPr>
        <w:spacing w:after="80" w:before="140"/>
      </w:pPr>
      <w:r>
        <w:rPr>
          <w:rFonts w:ascii="Times New Roman" w:cs="Times New Roman" w:eastAsia="Times New Roman" w:hAnsi="Times New Roman"/>
          <w:b/>
          <w:bCs/>
          <w:sz w:val="20"/>
          <w:szCs w:val="20"/>
        </w:rPr>
        <w:t xml:space="preserve">C. Evaluation Metrics</w:t>
      </w:r>
    </w:p>
    <w:p>
      <w:pPr>
        <w:spacing w:after="60" w:before="60"/>
        <w:jc w:val="both"/>
      </w:pPr>
      <w:r>
        <w:rPr>
          <w:rFonts w:ascii="Times New Roman" w:cs="Times New Roman" w:eastAsia="Times New Roman" w:hAnsi="Times New Roman"/>
          <w:color w:val="000000"/>
          <w:sz w:val="20"/>
          <w:szCs w:val="20"/>
        </w:rPr>
        <w:t xml:space="preserve">All models were evaluated on the 30-sample held-out test set using the following standard classification metrics, computed with scikit-learn (weighted averaging for multi-class):</w:t>
      </w:r>
    </w:p>
    <w:p>
      <w:pPr>
        <w:pStyle w:val="ListParagraph"/>
        <w:numPr>
          <w:ilvl w:val="0"/>
          <w:numId w:val="2"/>
        </w:numPr>
        <w:spacing w:after="40" w:before="40"/>
      </w:pPr>
      <w:r>
        <w:rPr>
          <w:rFonts w:ascii="Times New Roman" w:cs="Times New Roman" w:eastAsia="Times New Roman" w:hAnsi="Times New Roman"/>
          <w:b/>
          <w:bCs/>
          <w:color w:val="000000"/>
          <w:sz w:val="20"/>
          <w:szCs w:val="20"/>
        </w:rPr>
        <w:t xml:space="preserve">Accuracy: </w:t>
      </w:r>
      <w:r>
        <w:rPr>
          <w:rFonts w:ascii="Times New Roman" w:cs="Times New Roman" w:eastAsia="Times New Roman" w:hAnsi="Times New Roman"/>
          <w:color w:val="000000"/>
          <w:sz w:val="20"/>
          <w:szCs w:val="20"/>
        </w:rPr>
        <w:t xml:space="preserve">Fraction of correctly classified test samples.</w:t>
      </w:r>
    </w:p>
    <w:p>
      <w:pPr>
        <w:pStyle w:val="ListParagraph"/>
        <w:numPr>
          <w:ilvl w:val="0"/>
          <w:numId w:val="2"/>
        </w:numPr>
        <w:spacing w:after="40" w:before="40"/>
      </w:pPr>
      <w:r>
        <w:rPr>
          <w:rFonts w:ascii="Times New Roman" w:cs="Times New Roman" w:eastAsia="Times New Roman" w:hAnsi="Times New Roman"/>
          <w:b/>
          <w:bCs/>
          <w:color w:val="000000"/>
          <w:sz w:val="20"/>
          <w:szCs w:val="20"/>
        </w:rPr>
        <w:t xml:space="preserve">Precision: </w:t>
      </w:r>
      <w:r>
        <w:rPr>
          <w:rFonts w:ascii="Times New Roman" w:cs="Times New Roman" w:eastAsia="Times New Roman" w:hAnsi="Times New Roman"/>
          <w:color w:val="000000"/>
          <w:sz w:val="20"/>
          <w:szCs w:val="20"/>
        </w:rPr>
        <w:t xml:space="preserve">Weighted average precision across classes (zero_division=0).</w:t>
      </w:r>
    </w:p>
    <w:p>
      <w:pPr>
        <w:pStyle w:val="ListParagraph"/>
        <w:numPr>
          <w:ilvl w:val="0"/>
          <w:numId w:val="2"/>
        </w:numPr>
        <w:spacing w:after="40" w:before="40"/>
      </w:pPr>
      <w:r>
        <w:rPr>
          <w:rFonts w:ascii="Times New Roman" w:cs="Times New Roman" w:eastAsia="Times New Roman" w:hAnsi="Times New Roman"/>
          <w:b/>
          <w:bCs/>
          <w:color w:val="000000"/>
          <w:sz w:val="20"/>
          <w:szCs w:val="20"/>
        </w:rPr>
        <w:t xml:space="preserve">Recall: </w:t>
      </w:r>
      <w:r>
        <w:rPr>
          <w:rFonts w:ascii="Times New Roman" w:cs="Times New Roman" w:eastAsia="Times New Roman" w:hAnsi="Times New Roman"/>
          <w:color w:val="000000"/>
          <w:sz w:val="20"/>
          <w:szCs w:val="20"/>
        </w:rPr>
        <w:t xml:space="preserve">Weighted average recall across classes.</w:t>
      </w:r>
    </w:p>
    <w:p>
      <w:pPr>
        <w:pStyle w:val="ListParagraph"/>
        <w:numPr>
          <w:ilvl w:val="0"/>
          <w:numId w:val="2"/>
        </w:numPr>
        <w:spacing w:after="40" w:before="40"/>
      </w:pPr>
      <w:r>
        <w:rPr>
          <w:rFonts w:ascii="Times New Roman" w:cs="Times New Roman" w:eastAsia="Times New Roman" w:hAnsi="Times New Roman"/>
          <w:b/>
          <w:bCs/>
          <w:color w:val="000000"/>
          <w:sz w:val="20"/>
          <w:szCs w:val="20"/>
        </w:rPr>
        <w:t xml:space="preserve">F1-Score: </w:t>
      </w:r>
      <w:r>
        <w:rPr>
          <w:rFonts w:ascii="Times New Roman" w:cs="Times New Roman" w:eastAsia="Times New Roman" w:hAnsi="Times New Roman"/>
          <w:color w:val="000000"/>
          <w:sz w:val="20"/>
          <w:szCs w:val="20"/>
        </w:rPr>
        <w:t xml:space="preserve">Weighted harmonic mean of precision and recall.</w:t>
      </w:r>
    </w:p>
    <w:p>
      <w:pPr>
        <w:spacing w:after="0" w:before="160"/>
      </w:pPr>
    </w:p>
    <w:p>
      <w:pPr>
        <w:spacing w:after="100" w:before="200"/>
      </w:pPr>
      <w:r>
        <w:rPr>
          <w:rFonts w:ascii="Times New Roman" w:cs="Times New Roman" w:eastAsia="Times New Roman" w:hAnsi="Times New Roman"/>
          <w:b/>
          <w:bCs/>
          <w:color w:val="000000"/>
          <w:sz w:val="20"/>
          <w:szCs w:val="20"/>
        </w:rPr>
        <w:t xml:space="preserve">IV. RESULTS AND ANALYSIS</w:t>
      </w:r>
    </w:p>
    <w:p>
      <w:pPr>
        <w:spacing w:after="80" w:before="140"/>
      </w:pPr>
      <w:r>
        <w:rPr>
          <w:rFonts w:ascii="Times New Roman" w:cs="Times New Roman" w:eastAsia="Times New Roman" w:hAnsi="Times New Roman"/>
          <w:b/>
          <w:bCs/>
          <w:sz w:val="20"/>
          <w:szCs w:val="20"/>
        </w:rPr>
        <w:t xml:space="preserve">A. Overall Performance Comparison</w:t>
      </w:r>
    </w:p>
    <w:p>
      <w:pPr>
        <w:spacing w:after="60" w:before="60"/>
        <w:jc w:val="both"/>
      </w:pPr>
      <w:r>
        <w:rPr>
          <w:rFonts w:ascii="Times New Roman" w:cs="Times New Roman" w:eastAsia="Times New Roman" w:hAnsi="Times New Roman"/>
          <w:color w:val="000000"/>
          <w:sz w:val="20"/>
          <w:szCs w:val="20"/>
        </w:rPr>
        <w:t xml:space="preserve">Table III summarizes the classification performance of all three model configurations evaluated on the Iris test set. Results demonstrate a clear and consistent progression in performance from the untrained baseline to the hybrid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20"/>
        <w:gridCol w:w="1820"/>
        <w:gridCol w:w="1820"/>
        <w:gridCol w:w="1820"/>
      </w:tblGrid>
      <w:tr>
        <w:tc>
          <w:tcPr>
            <w:tcW w:type="dxa" w:w="280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Model</w:t>
            </w:r>
          </w:p>
        </w:tc>
        <w:tc>
          <w:tcPr>
            <w:tcW w:type="dxa" w:w="182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Accuracy</w:t>
            </w:r>
          </w:p>
        </w:tc>
        <w:tc>
          <w:tcPr>
            <w:tcW w:type="dxa" w:w="182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Precision</w:t>
            </w:r>
          </w:p>
        </w:tc>
        <w:tc>
          <w:tcPr>
            <w:tcW w:type="dxa" w:w="182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Recall</w:t>
            </w:r>
          </w:p>
        </w:tc>
        <w:tc>
          <w:tcPr>
            <w:tcW w:type="dxa" w:w="182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F1-Score</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Baseline VQC (Untrained)</w:t>
            </w:r>
          </w:p>
        </w:tc>
        <w:tc>
          <w:tcPr>
            <w:tcW w:type="dxa" w:w="18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0.30</w:t>
            </w:r>
          </w:p>
        </w:tc>
        <w:tc>
          <w:tcPr>
            <w:tcW w:type="dxa" w:w="18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0.25</w:t>
            </w:r>
          </w:p>
        </w:tc>
        <w:tc>
          <w:tcPr>
            <w:tcW w:type="dxa" w:w="18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0.25</w:t>
            </w:r>
          </w:p>
        </w:tc>
        <w:tc>
          <w:tcPr>
            <w:tcW w:type="dxa" w:w="18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0.23</w:t>
            </w:r>
          </w:p>
        </w:tc>
      </w:tr>
      <w:tr>
        <w:tc>
          <w:tcPr>
            <w:tcW w:type="dxa" w:w="280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Trained VQC (COBYLA)</w:t>
            </w:r>
          </w:p>
        </w:tc>
        <w:tc>
          <w:tcPr>
            <w:tcW w:type="dxa" w:w="182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0.50</w:t>
            </w:r>
          </w:p>
        </w:tc>
        <w:tc>
          <w:tcPr>
            <w:tcW w:type="dxa" w:w="182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0.47</w:t>
            </w:r>
          </w:p>
        </w:tc>
        <w:tc>
          <w:tcPr>
            <w:tcW w:type="dxa" w:w="182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0.50</w:t>
            </w:r>
          </w:p>
        </w:tc>
        <w:tc>
          <w:tcPr>
            <w:tcW w:type="dxa" w:w="182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0.47</w:t>
            </w:r>
          </w:p>
        </w:tc>
      </w:tr>
      <w:tr>
        <w:tc>
          <w:tcPr>
            <w:tcW w:type="dxa" w:w="2800"/>
            <w:tcBorders>
              <w:top w:val="single" w:color="AAAAAA" w:sz="4"/>
              <w:left w:val="single" w:color="AAAAAA" w:sz="4"/>
              <w:bottom w:val="single" w:color="AAAAAA" w:sz="4"/>
              <w:right w:val="single" w:color="AAAAAA" w:sz="4"/>
            </w:tcBorders>
            <w:shd w:fill="E8F4E8"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Hybrid Quantum-Softmax ★</w:t>
            </w:r>
          </w:p>
        </w:tc>
        <w:tc>
          <w:tcPr>
            <w:tcW w:type="dxa" w:w="1820"/>
            <w:tcBorders>
              <w:top w:val="single" w:color="AAAAAA" w:sz="4"/>
              <w:left w:val="single" w:color="AAAAAA" w:sz="4"/>
              <w:bottom w:val="single" w:color="AAAAAA" w:sz="4"/>
              <w:right w:val="single" w:color="AAAAAA" w:sz="4"/>
            </w:tcBorders>
            <w:shd w:fill="E8F4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0.90</w:t>
            </w:r>
          </w:p>
        </w:tc>
        <w:tc>
          <w:tcPr>
            <w:tcW w:type="dxa" w:w="1820"/>
            <w:tcBorders>
              <w:top w:val="single" w:color="AAAAAA" w:sz="4"/>
              <w:left w:val="single" w:color="AAAAAA" w:sz="4"/>
              <w:bottom w:val="single" w:color="AAAAAA" w:sz="4"/>
              <w:right w:val="single" w:color="AAAAAA" w:sz="4"/>
            </w:tcBorders>
            <w:shd w:fill="E8F4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0.91</w:t>
            </w:r>
          </w:p>
        </w:tc>
        <w:tc>
          <w:tcPr>
            <w:tcW w:type="dxa" w:w="1820"/>
            <w:tcBorders>
              <w:top w:val="single" w:color="AAAAAA" w:sz="4"/>
              <w:left w:val="single" w:color="AAAAAA" w:sz="4"/>
              <w:bottom w:val="single" w:color="AAAAAA" w:sz="4"/>
              <w:right w:val="single" w:color="AAAAAA" w:sz="4"/>
            </w:tcBorders>
            <w:shd w:fill="E8F4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0.90</w:t>
            </w:r>
          </w:p>
        </w:tc>
        <w:tc>
          <w:tcPr>
            <w:tcW w:type="dxa" w:w="1820"/>
            <w:tcBorders>
              <w:top w:val="single" w:color="AAAAAA" w:sz="4"/>
              <w:left w:val="single" w:color="AAAAAA" w:sz="4"/>
              <w:bottom w:val="single" w:color="AAAAAA" w:sz="4"/>
              <w:right w:val="single" w:color="AAAAAA" w:sz="4"/>
            </w:tcBorders>
            <w:shd w:fill="E8F4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0.90</w:t>
            </w:r>
          </w:p>
        </w:tc>
      </w:tr>
    </w:tbl>
    <w:p>
      <w:pPr>
        <w:spacing w:after="120" w:before="60"/>
        <w:jc w:val="center"/>
      </w:pPr>
      <w:r>
        <w:rPr>
          <w:rFonts w:ascii="Times New Roman" w:cs="Times New Roman" w:eastAsia="Times New Roman" w:hAnsi="Times New Roman"/>
          <w:sz w:val="18"/>
          <w:szCs w:val="18"/>
        </w:rPr>
        <w:t xml:space="preserve">Table III: Classification Performance on Iris Test Set (n=30). ★ denotes best-performing model.</w:t>
      </w:r>
    </w:p>
    <w:p>
      <w:pPr>
        <w:spacing w:after="80" w:before="140"/>
      </w:pPr>
      <w:r>
        <w:rPr>
          <w:rFonts w:ascii="Times New Roman" w:cs="Times New Roman" w:eastAsia="Times New Roman" w:hAnsi="Times New Roman"/>
          <w:b/>
          <w:bCs/>
          <w:sz w:val="20"/>
          <w:szCs w:val="20"/>
        </w:rPr>
        <w:t xml:space="preserve">B. Accuracy and F1-Score Comparison</w:t>
      </w:r>
    </w:p>
    <w:p>
      <w:pPr>
        <w:spacing w:after="60" w:before="60"/>
        <w:jc w:val="both"/>
      </w:pPr>
      <w:r>
        <w:rPr>
          <w:rFonts w:ascii="Times New Roman" w:cs="Times New Roman" w:eastAsia="Times New Roman" w:hAnsi="Times New Roman"/>
          <w:color w:val="000000"/>
          <w:sz w:val="20"/>
          <w:szCs w:val="20"/>
        </w:rPr>
        <w:t xml:space="preserve">Figures 1 and 2 present the bar chart comparisons of accuracy and F1-score across the three model configurations, as generated from the experimental runs.</w:t>
      </w:r>
    </w:p>
    <w:p>
      <w:pPr>
        <w:spacing w:after="6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714625"/>
                    </a:xfrm>
                    <a:prstGeom prst="rect">
                      <a:avLst/>
                    </a:prstGeom>
                  </pic:spPr>
                </pic:pic>
              </a:graphicData>
            </a:graphic>
          </wp:inline>
        </w:drawing>
      </w:r>
    </w:p>
    <w:p>
      <w:pPr>
        <w:spacing w:after="120" w:before="60"/>
        <w:jc w:val="center"/>
      </w:pPr>
      <w:r>
        <w:rPr>
          <w:rFonts w:ascii="Times New Roman" w:cs="Times New Roman" w:eastAsia="Times New Roman" w:hAnsi="Times New Roman"/>
          <w:sz w:val="18"/>
          <w:szCs w:val="18"/>
        </w:rPr>
        <w:t xml:space="preserve">Fig. 1: Model Accuracy Comparison — Baseline VQC, Trained VQC, and Hybrid Quantum-Softmax</w:t>
      </w:r>
    </w:p>
    <w:p>
      <w:pPr>
        <w:spacing w:after="60" w:before="12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p>
      <w:pPr>
        <w:spacing w:after="120" w:before="60"/>
        <w:jc w:val="center"/>
      </w:pPr>
      <w:r>
        <w:rPr>
          <w:rFonts w:ascii="Times New Roman" w:cs="Times New Roman" w:eastAsia="Times New Roman" w:hAnsi="Times New Roman"/>
          <w:sz w:val="18"/>
          <w:szCs w:val="18"/>
        </w:rPr>
        <w:t xml:space="preserve">Fig. 2: Model F1-Score Comparison across all three configurations</w:t>
      </w:r>
    </w:p>
    <w:p>
      <w:pPr>
        <w:spacing w:after="80" w:before="140"/>
      </w:pPr>
      <w:r>
        <w:rPr>
          <w:rFonts w:ascii="Times New Roman" w:cs="Times New Roman" w:eastAsia="Times New Roman" w:hAnsi="Times New Roman"/>
          <w:b/>
          <w:bCs/>
          <w:sz w:val="20"/>
          <w:szCs w:val="20"/>
        </w:rPr>
        <w:t xml:space="preserve">C. Per-Class Classification Report (Hybrid Model)</w:t>
      </w:r>
    </w:p>
    <w:p>
      <w:pPr>
        <w:spacing w:after="60" w:before="60"/>
        <w:jc w:val="both"/>
      </w:pPr>
      <w:r>
        <w:rPr>
          <w:rFonts w:ascii="Times New Roman" w:cs="Times New Roman" w:eastAsia="Times New Roman" w:hAnsi="Times New Roman"/>
          <w:color w:val="000000"/>
          <w:sz w:val="20"/>
          <w:szCs w:val="20"/>
        </w:rPr>
        <w:t xml:space="preserve">Table IV provides the detailed per-class precision, recall, and F1-score for the best-performing Hybrid Quantum-Softmax model on the 30-sample test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c>
          <w:tcPr>
            <w:tcW w:type="dxa" w:w="252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Class</w:t>
            </w:r>
          </w:p>
        </w:tc>
        <w:tc>
          <w:tcPr>
            <w:tcW w:type="dxa" w:w="189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Precision</w:t>
            </w:r>
          </w:p>
        </w:tc>
        <w:tc>
          <w:tcPr>
            <w:tcW w:type="dxa" w:w="189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Recall</w:t>
            </w:r>
          </w:p>
        </w:tc>
        <w:tc>
          <w:tcPr>
            <w:tcW w:type="dxa" w:w="189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F1-Score</w:t>
            </w:r>
          </w:p>
        </w:tc>
        <w:tc>
          <w:tcPr>
            <w:tcW w:type="dxa" w:w="189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Support</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Class 0 (Iris-setosa)</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1.00</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0.90</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0.95</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10</w:t>
            </w:r>
          </w:p>
        </w:tc>
      </w:tr>
      <w:tr>
        <w:tc>
          <w:tcPr>
            <w:tcW w:type="dxa" w:w="252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Class 1 (Iris-versicolor)</w:t>
            </w:r>
          </w:p>
        </w:tc>
        <w:tc>
          <w:tcPr>
            <w:tcW w:type="dxa" w:w="189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0.82</w:t>
            </w:r>
          </w:p>
        </w:tc>
        <w:tc>
          <w:tcPr>
            <w:tcW w:type="dxa" w:w="189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0.90</w:t>
            </w:r>
          </w:p>
        </w:tc>
        <w:tc>
          <w:tcPr>
            <w:tcW w:type="dxa" w:w="189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0.86</w:t>
            </w:r>
          </w:p>
        </w:tc>
        <w:tc>
          <w:tcPr>
            <w:tcW w:type="dxa" w:w="189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10</w:t>
            </w:r>
          </w:p>
        </w:tc>
      </w:tr>
      <w:tr>
        <w:tc>
          <w:tcPr>
            <w:tcW w:type="dxa" w:w="25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Class 2 (Iris-virginica)</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0.90</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0.90</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0.90</w:t>
            </w:r>
          </w:p>
        </w:tc>
        <w:tc>
          <w:tcPr>
            <w:tcW w:type="dxa" w:w="189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10</w:t>
            </w:r>
          </w:p>
        </w:tc>
      </w:tr>
      <w:tr>
        <w:tc>
          <w:tcPr>
            <w:tcW w:type="dxa" w:w="2520"/>
            <w:tcBorders>
              <w:top w:val="single" w:color="AAAAAA" w:sz="4"/>
              <w:left w:val="single" w:color="AAAAAA" w:sz="4"/>
              <w:bottom w:val="single" w:color="AAAAAA" w:sz="4"/>
              <w:right w:val="single" w:color="AAAAAA" w:sz="4"/>
            </w:tcBorders>
            <w:shd w:fill="E8E8E8" w:val="clear"/>
            <w:tcMar>
              <w:top w:type="dxa" w:w="60"/>
              <w:left w:type="dxa" w:w="100"/>
              <w:bottom w:type="dxa" w:w="60"/>
              <w:right w:type="dxa" w:w="100"/>
            </w:tcMar>
          </w:tcPr>
          <w:p>
            <w:r>
              <w:rPr>
                <w:rFonts w:ascii="Times New Roman" w:cs="Times New Roman" w:eastAsia="Times New Roman" w:hAnsi="Times New Roman"/>
                <w:b/>
                <w:bCs/>
                <w:sz w:val="18"/>
                <w:szCs w:val="18"/>
              </w:rPr>
              <w:t xml:space="preserve">Weighted Average</w:t>
            </w:r>
          </w:p>
        </w:tc>
        <w:tc>
          <w:tcPr>
            <w:tcW w:type="dxa" w:w="1890"/>
            <w:tcBorders>
              <w:top w:val="single" w:color="AAAAAA" w:sz="4"/>
              <w:left w:val="single" w:color="AAAAAA" w:sz="4"/>
              <w:bottom w:val="single" w:color="AAAAAA" w:sz="4"/>
              <w:right w:val="single" w:color="AAAAAA" w:sz="4"/>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0.91</w:t>
            </w:r>
          </w:p>
        </w:tc>
        <w:tc>
          <w:tcPr>
            <w:tcW w:type="dxa" w:w="1890"/>
            <w:tcBorders>
              <w:top w:val="single" w:color="AAAAAA" w:sz="4"/>
              <w:left w:val="single" w:color="AAAAAA" w:sz="4"/>
              <w:bottom w:val="single" w:color="AAAAAA" w:sz="4"/>
              <w:right w:val="single" w:color="AAAAAA" w:sz="4"/>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0.90</w:t>
            </w:r>
          </w:p>
        </w:tc>
        <w:tc>
          <w:tcPr>
            <w:tcW w:type="dxa" w:w="1890"/>
            <w:tcBorders>
              <w:top w:val="single" w:color="AAAAAA" w:sz="4"/>
              <w:left w:val="single" w:color="AAAAAA" w:sz="4"/>
              <w:bottom w:val="single" w:color="AAAAAA" w:sz="4"/>
              <w:right w:val="single" w:color="AAAAAA" w:sz="4"/>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0.90</w:t>
            </w:r>
          </w:p>
        </w:tc>
        <w:tc>
          <w:tcPr>
            <w:tcW w:type="dxa" w:w="1890"/>
            <w:tcBorders>
              <w:top w:val="single" w:color="AAAAAA" w:sz="4"/>
              <w:left w:val="single" w:color="AAAAAA" w:sz="4"/>
              <w:bottom w:val="single" w:color="AAAAAA" w:sz="4"/>
              <w:right w:val="single" w:color="AAAAAA" w:sz="4"/>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30</w:t>
            </w:r>
          </w:p>
        </w:tc>
      </w:tr>
    </w:tbl>
    <w:p>
      <w:pPr>
        <w:spacing w:after="120" w:before="60"/>
        <w:jc w:val="center"/>
      </w:pPr>
      <w:r>
        <w:rPr>
          <w:rFonts w:ascii="Times New Roman" w:cs="Times New Roman" w:eastAsia="Times New Roman" w:hAnsi="Times New Roman"/>
          <w:sz w:val="18"/>
          <w:szCs w:val="18"/>
        </w:rPr>
        <w:t xml:space="preserve">Table IV: Per-Class Classification Report — Hybrid Quantum-Softmax Model</w:t>
      </w:r>
    </w:p>
    <w:p>
      <w:pPr>
        <w:spacing w:after="80" w:before="140"/>
      </w:pPr>
      <w:r>
        <w:rPr>
          <w:rFonts w:ascii="Times New Roman" w:cs="Times New Roman" w:eastAsia="Times New Roman" w:hAnsi="Times New Roman"/>
          <w:b/>
          <w:bCs/>
          <w:sz w:val="20"/>
          <w:szCs w:val="20"/>
        </w:rPr>
        <w:t xml:space="preserve">D. Analysis and Discussion</w:t>
      </w:r>
    </w:p>
    <w:p>
      <w:pPr>
        <w:spacing w:after="60" w:before="60"/>
        <w:jc w:val="both"/>
      </w:pPr>
      <w:r>
        <w:rPr>
          <w:rFonts w:ascii="Times New Roman" w:cs="Times New Roman" w:eastAsia="Times New Roman" w:hAnsi="Times New Roman"/>
          <w:color w:val="000000"/>
          <w:sz w:val="20"/>
          <w:szCs w:val="20"/>
        </w:rPr>
        <w:t xml:space="preserve">The experimental results reveal three key findings that are consistent with the theoretical expectations outlined in Report 2:</w:t>
      </w:r>
    </w:p>
    <w:p>
      <w:pPr>
        <w:spacing w:after="60" w:before="60"/>
        <w:jc w:val="both"/>
      </w:pPr>
      <w:r>
        <w:rPr>
          <w:rFonts w:ascii="Times New Roman" w:cs="Times New Roman" w:eastAsia="Times New Roman" w:hAnsi="Times New Roman"/>
          <w:b/>
          <w:bCs/>
          <w:color w:val="000000"/>
          <w:sz w:val="20"/>
          <w:szCs w:val="20"/>
        </w:rPr>
        <w:t xml:space="preserve">1. Baseline VQC Performance (30% Accuracy): </w:t>
      </w:r>
      <w:r>
        <w:rPr>
          <w:rFonts w:ascii="Times New Roman" w:cs="Times New Roman" w:eastAsia="Times New Roman" w:hAnsi="Times New Roman"/>
          <w:color w:val="000000"/>
          <w:sz w:val="20"/>
          <w:szCs w:val="20"/>
        </w:rPr>
        <w:t xml:space="preserve">The random-parameter baseline achieved approximately 33% accuracy — equivalent to random chance for a 3-class problem. This confirms that the VQC architecture is not trivially biased toward any class, and establishes a meaningful lower bound for comparison.</w:t>
      </w:r>
    </w:p>
    <w:p>
      <w:pPr>
        <w:spacing w:after="60" w:before="60"/>
        <w:jc w:val="both"/>
      </w:pPr>
      <w:r>
        <w:rPr>
          <w:rFonts w:ascii="Times New Roman" w:cs="Times New Roman" w:eastAsia="Times New Roman" w:hAnsi="Times New Roman"/>
          <w:b/>
          <w:bCs/>
          <w:color w:val="000000"/>
          <w:sz w:val="20"/>
          <w:szCs w:val="20"/>
        </w:rPr>
        <w:t xml:space="preserve">2. COBYLA Training Provides Modest Improvement (50% Accuracy): </w:t>
      </w:r>
      <w:r>
        <w:rPr>
          <w:rFonts w:ascii="Times New Roman" w:cs="Times New Roman" w:eastAsia="Times New Roman" w:hAnsi="Times New Roman"/>
          <w:color w:val="000000"/>
          <w:sz w:val="20"/>
          <w:szCs w:val="20"/>
        </w:rPr>
        <w:t xml:space="preserve">After 100 COBYLA iterations, the standalone VQC improved to 50% accuracy. This improvement demonstrates that the COBYLA optimizer successfully finds better parameter configurations, but the inherent expressibility limitations of a 3-layer, 4-qubit circuit with shot noise constrain performance. The barren plateau effect and finite shot noise (2048 shots) are likely contributors to the performance ceiling.</w:t>
      </w:r>
    </w:p>
    <w:p>
      <w:pPr>
        <w:spacing w:after="60" w:before="60"/>
        <w:jc w:val="both"/>
      </w:pPr>
      <w:r>
        <w:rPr>
          <w:rFonts w:ascii="Times New Roman" w:cs="Times New Roman" w:eastAsia="Times New Roman" w:hAnsi="Times New Roman"/>
          <w:b/>
          <w:bCs/>
          <w:color w:val="000000"/>
          <w:sz w:val="20"/>
          <w:szCs w:val="20"/>
        </w:rPr>
        <w:t xml:space="preserve">3. Hybrid Architecture Achieves Strong Performance (90% Accuracy): </w:t>
      </w:r>
      <w:r>
        <w:rPr>
          <w:rFonts w:ascii="Times New Roman" w:cs="Times New Roman" w:eastAsia="Times New Roman" w:hAnsi="Times New Roman"/>
          <w:color w:val="000000"/>
          <w:sz w:val="20"/>
          <w:szCs w:val="20"/>
        </w:rPr>
        <w:t xml:space="preserve">The quantum-classical hybrid model substantially outperforms both quantum-only approaches, achieving 90% accuracy and a weighted F1-score of 0.90. This demonstrates that quantum feature transformation — even with fixed random circuit parameters — introduces sufficient non-linearity in Hilbert space to enable the classical softmax classifier to find a high-quality decision boundary. The result validates the core hypothesis of the NA-HVQC design: that the value of quantum circuits for near-term QML lies primarily in their role as feature transformers rather than end-to-end quantum learners.</w:t>
      </w:r>
    </w:p>
    <w:p>
      <w:pPr>
        <w:spacing w:after="80" w:before="140"/>
      </w:pPr>
      <w:r>
        <w:rPr>
          <w:rFonts w:ascii="Times New Roman" w:cs="Times New Roman" w:eastAsia="Times New Roman" w:hAnsi="Times New Roman"/>
          <w:b/>
          <w:bCs/>
          <w:sz w:val="20"/>
          <w:szCs w:val="20"/>
        </w:rPr>
        <w:t xml:space="preserve">E. Comparison with Report 2 Expected Results</w:t>
      </w:r>
    </w:p>
    <w:p>
      <w:pPr>
        <w:spacing w:after="60" w:before="60"/>
        <w:jc w:val="both"/>
      </w:pPr>
      <w:r>
        <w:rPr>
          <w:rFonts w:ascii="Times New Roman" w:cs="Times New Roman" w:eastAsia="Times New Roman" w:hAnsi="Times New Roman"/>
          <w:color w:val="000000"/>
          <w:sz w:val="20"/>
          <w:szCs w:val="20"/>
        </w:rPr>
        <w:t xml:space="preserve">Report 2 projected that the NA-HVQC would achieve accuracy exceeding 95% on the Iris dataset. The hybrid model achieved 90%, which falls below this projection. This gap can be attributed to several factors: (i) the fixed random parameters used in the hybrid model were not jointly optimized with the classical layer, (ii) only 2048 shots were used per circuit evaluation, introducing non-trivial shot noise, and (iii) the Iris dataset's classes are well-separated in classical feature space, meaning the quantum transformation may not offer a decisive advantage over direct classical methods for this benchmark.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Metric</w:t>
            </w:r>
          </w:p>
        </w:tc>
        <w:tc>
          <w:tcPr>
            <w:tcW w:type="dxa" w:w="336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Report 2 Expected</w:t>
            </w:r>
          </w:p>
        </w:tc>
        <w:tc>
          <w:tcPr>
            <w:tcW w:type="dxa" w:w="3360"/>
            <w:tcBorders>
              <w:top w:val="single" w:color="AAAAAA" w:sz="4"/>
              <w:left w:val="single" w:color="AAAAAA" w:sz="4"/>
              <w:bottom w:val="single" w:color="AAAAAA" w:sz="4"/>
              <w:right w:val="single" w:color="AAAAAA" w:sz="4"/>
            </w:tcBorders>
            <w:shd w:fill="333333" w:val="clear"/>
            <w:tcMar>
              <w:top w:type="dxa" w:w="80"/>
              <w:left w:type="dxa" w:w="100"/>
              <w:bottom w:type="dxa" w:w="80"/>
              <w:right w:type="dxa" w:w="100"/>
            </w:tcMar>
          </w:tcPr>
          <w:p>
            <w:pPr>
              <w:jc w:val="center"/>
            </w:pPr>
            <w:r>
              <w:rPr>
                <w:rFonts w:ascii="Times New Roman" w:cs="Times New Roman" w:eastAsia="Times New Roman" w:hAnsi="Times New Roman"/>
                <w:b/>
                <w:bCs/>
                <w:color w:val="FFFFFF"/>
                <w:sz w:val="18"/>
                <w:szCs w:val="18"/>
              </w:rPr>
              <w:t xml:space="preserve">Report 3 Actual (Hybrid)</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Accuracy</w:t>
            </w:r>
          </w:p>
        </w:tc>
        <w:tc>
          <w:tcPr>
            <w:tcW w:type="dxa" w:w="3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&gt; 95%</w:t>
            </w:r>
          </w:p>
        </w:tc>
        <w:tc>
          <w:tcPr>
            <w:tcW w:type="dxa" w:w="3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90%</w:t>
            </w:r>
          </w:p>
        </w:tc>
      </w:tr>
      <w:tr>
        <w:tc>
          <w:tcPr>
            <w:tcW w:type="dxa" w:w="33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F1-Score</w:t>
            </w:r>
          </w:p>
        </w:tc>
        <w:tc>
          <w:tcPr>
            <w:tcW w:type="dxa" w:w="33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&gt; 0.90</w:t>
            </w:r>
          </w:p>
        </w:tc>
        <w:tc>
          <w:tcPr>
            <w:tcW w:type="dxa" w:w="33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0.90</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CNOT Gates</w:t>
            </w:r>
          </w:p>
        </w:tc>
        <w:tc>
          <w:tcPr>
            <w:tcW w:type="dxa" w:w="3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&lt; 50</w:t>
            </w:r>
          </w:p>
        </w:tc>
        <w:tc>
          <w:tcPr>
            <w:tcW w:type="dxa" w:w="3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9 (3 per layer × 3 layers)</w:t>
            </w:r>
          </w:p>
        </w:tc>
      </w:tr>
      <w:tr>
        <w:tc>
          <w:tcPr>
            <w:tcW w:type="dxa" w:w="33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Circuit Layers</w:t>
            </w:r>
          </w:p>
        </w:tc>
        <w:tc>
          <w:tcPr>
            <w:tcW w:type="dxa" w:w="33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3</w:t>
            </w:r>
          </w:p>
        </w:tc>
        <w:tc>
          <w:tcPr>
            <w:tcW w:type="dxa" w:w="3360"/>
            <w:tcBorders>
              <w:top w:val="single" w:color="AAAAAA" w:sz="4"/>
              <w:left w:val="single" w:color="AAAAAA" w:sz="4"/>
              <w:bottom w:val="single" w:color="AAAAAA" w:sz="4"/>
              <w:right w:val="single" w:color="AAAAAA" w:sz="4"/>
            </w:tcBorders>
            <w:shd w:fill="F2F2F2"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3</w:t>
            </w:r>
          </w:p>
        </w:tc>
      </w:tr>
      <w:tr>
        <w:tc>
          <w:tcPr>
            <w:tcW w:type="dxa" w:w="3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000000"/>
                <w:sz w:val="18"/>
                <w:szCs w:val="18"/>
              </w:rPr>
              <w:t xml:space="preserve">Encoding</w:t>
            </w:r>
          </w:p>
        </w:tc>
        <w:tc>
          <w:tcPr>
            <w:tcW w:type="dxa" w:w="3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Adaptive (Angle/Pauli-Z)</w:t>
            </w:r>
          </w:p>
        </w:tc>
        <w:tc>
          <w:tcPr>
            <w:tcW w:type="dxa" w:w="336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Times New Roman" w:cs="Times New Roman" w:eastAsia="Times New Roman" w:hAnsi="Times New Roman"/>
                <w:color w:val="000000"/>
                <w:sz w:val="18"/>
                <w:szCs w:val="18"/>
              </w:rPr>
              <w:t xml:space="preserve">Angle Encoding (enforced)</w:t>
            </w:r>
          </w:p>
        </w:tc>
      </w:tr>
    </w:tbl>
    <w:p>
      <w:pPr>
        <w:spacing w:after="120" w:before="60"/>
        <w:jc w:val="center"/>
      </w:pPr>
      <w:r>
        <w:rPr>
          <w:rFonts w:ascii="Times New Roman" w:cs="Times New Roman" w:eastAsia="Times New Roman" w:hAnsi="Times New Roman"/>
          <w:sz w:val="18"/>
          <w:szCs w:val="18"/>
        </w:rPr>
        <w:t xml:space="preserve">Table V: Expected vs. Actual Performance Comparison</w:t>
      </w:r>
    </w:p>
    <w:p>
      <w:pPr>
        <w:spacing w:after="0" w:before="160"/>
      </w:pPr>
    </w:p>
    <w:p>
      <w:pPr>
        <w:spacing w:after="100" w:before="200"/>
      </w:pPr>
      <w:r>
        <w:rPr>
          <w:rFonts w:ascii="Times New Roman" w:cs="Times New Roman" w:eastAsia="Times New Roman" w:hAnsi="Times New Roman"/>
          <w:b/>
          <w:bCs/>
          <w:color w:val="000000"/>
          <w:sz w:val="20"/>
          <w:szCs w:val="20"/>
        </w:rPr>
        <w:t xml:space="preserve">V. CIRCUIT ANALYSIS</w:t>
      </w:r>
    </w:p>
    <w:p>
      <w:pPr>
        <w:spacing w:after="80" w:before="140"/>
      </w:pPr>
      <w:r>
        <w:rPr>
          <w:rFonts w:ascii="Times New Roman" w:cs="Times New Roman" w:eastAsia="Times New Roman" w:hAnsi="Times New Roman"/>
          <w:b/>
          <w:bCs/>
          <w:sz w:val="20"/>
          <w:szCs w:val="20"/>
        </w:rPr>
        <w:t xml:space="preserve">A. Circuit Depth and Gate Count</w:t>
      </w:r>
    </w:p>
    <w:p>
      <w:pPr>
        <w:spacing w:after="60" w:before="60"/>
        <w:jc w:val="both"/>
      </w:pPr>
      <w:r>
        <w:rPr>
          <w:rFonts w:ascii="Times New Roman" w:cs="Times New Roman" w:eastAsia="Times New Roman" w:hAnsi="Times New Roman"/>
          <w:color w:val="000000"/>
          <w:sz w:val="20"/>
          <w:szCs w:val="20"/>
        </w:rPr>
        <w:t xml:space="preserve">The full VQC circuit for the Iris dataset (4 qubits, 3 layers) consists of the following gate operations:</w:t>
      </w:r>
    </w:p>
    <w:p>
      <w:pPr>
        <w:pStyle w:val="ListParagraph"/>
        <w:numPr>
          <w:ilvl w:val="0"/>
          <w:numId w:val="2"/>
        </w:numPr>
        <w:spacing w:after="40" w:before="40"/>
      </w:pPr>
      <w:r>
        <w:rPr>
          <w:rFonts w:ascii="Times New Roman" w:cs="Times New Roman" w:eastAsia="Times New Roman" w:hAnsi="Times New Roman"/>
          <w:color w:val="000000"/>
          <w:sz w:val="20"/>
          <w:szCs w:val="20"/>
        </w:rPr>
        <w:t xml:space="preserve">4 Ry gates (angle encoding layer)</w:t>
      </w:r>
    </w:p>
    <w:p>
      <w:pPr>
        <w:pStyle w:val="ListParagraph"/>
        <w:numPr>
          <w:ilvl w:val="0"/>
          <w:numId w:val="2"/>
        </w:numPr>
        <w:spacing w:after="40" w:before="40"/>
      </w:pPr>
      <w:r>
        <w:rPr>
          <w:rFonts w:ascii="Times New Roman" w:cs="Times New Roman" w:eastAsia="Times New Roman" w:hAnsi="Times New Roman"/>
          <w:color w:val="000000"/>
          <w:sz w:val="20"/>
          <w:szCs w:val="20"/>
        </w:rPr>
        <w:t xml:space="preserve">Per variational layer: 4 Ry + 4 Rz + 3 CNOT gates = 11 gates × 3 layers = 33 gates</w:t>
      </w:r>
    </w:p>
    <w:p>
      <w:pPr>
        <w:pStyle w:val="ListParagraph"/>
        <w:numPr>
          <w:ilvl w:val="0"/>
          <w:numId w:val="2"/>
        </w:numPr>
        <w:spacing w:after="40" w:before="40"/>
      </w:pPr>
      <w:r>
        <w:rPr>
          <w:rFonts w:ascii="Times New Roman" w:cs="Times New Roman" w:eastAsia="Times New Roman" w:hAnsi="Times New Roman"/>
          <w:color w:val="000000"/>
          <w:sz w:val="20"/>
          <w:szCs w:val="20"/>
        </w:rPr>
        <w:t xml:space="preserve">4 measurement operations</w:t>
      </w:r>
    </w:p>
    <w:p>
      <w:pPr>
        <w:pStyle w:val="ListParagraph"/>
        <w:numPr>
          <w:ilvl w:val="0"/>
          <w:numId w:val="2"/>
        </w:numPr>
        <w:spacing w:after="40" w:before="40"/>
      </w:pPr>
      <w:r>
        <w:rPr>
          <w:rFonts w:ascii="Times New Roman" w:cs="Times New Roman" w:eastAsia="Times New Roman" w:hAnsi="Times New Roman"/>
          <w:color w:val="000000"/>
          <w:sz w:val="20"/>
          <w:szCs w:val="20"/>
        </w:rPr>
        <w:t xml:space="preserve">Total two-qubit (CNOT) gates: 9 — well within the &lt; 50 CNOT target from Report 2</w:t>
      </w:r>
    </w:p>
    <w:p>
      <w:pPr>
        <w:spacing w:after="60" w:before="60"/>
        <w:jc w:val="both"/>
      </w:pPr>
      <w:r>
        <w:rPr>
          <w:rFonts w:ascii="Times New Roman" w:cs="Times New Roman" w:eastAsia="Times New Roman" w:hAnsi="Times New Roman"/>
          <w:color w:val="000000"/>
          <w:sz w:val="20"/>
          <w:szCs w:val="20"/>
        </w:rPr>
        <w:t xml:space="preserve">The shallow 3-layer ansatz design ensures the circuit depth remains within NISQ hardware coherence limits. The linear CNOT entanglement topology further minimizes gate overhead and hardware transpilation overhead, consistent with noise-aware design principles.</w:t>
      </w:r>
    </w:p>
    <w:p>
      <w:pPr>
        <w:spacing w:after="80" w:before="140"/>
      </w:pPr>
      <w:r>
        <w:rPr>
          <w:rFonts w:ascii="Times New Roman" w:cs="Times New Roman" w:eastAsia="Times New Roman" w:hAnsi="Times New Roman"/>
          <w:b/>
          <w:bCs/>
          <w:sz w:val="20"/>
          <w:szCs w:val="20"/>
        </w:rPr>
        <w:t xml:space="preserve">B. Adaptive Encoding Decision</w:t>
      </w:r>
    </w:p>
    <w:p>
      <w:pPr>
        <w:spacing w:after="60" w:before="60"/>
        <w:jc w:val="both"/>
      </w:pPr>
      <w:r>
        <w:rPr>
          <w:rFonts w:ascii="Times New Roman" w:cs="Times New Roman" w:eastAsia="Times New Roman" w:hAnsi="Times New Roman"/>
          <w:color w:val="000000"/>
          <w:sz w:val="20"/>
          <w:szCs w:val="20"/>
        </w:rPr>
        <w:t xml:space="preserve">For the Iris dataset, PCA over 4 components yields a cumulative variance ratio of approximately 0.978, which exceeds the 0.85 threshold specified in Report 2. Under strict adaptive logic, this would trigger Pauli-Z Feature Map encoding. However, for stability and NISQ compatibility in simulation, Angle Encoding was enforced for all experiment runs. This conservative choice prioritizes circuit shallowness over theoretical expressibility, consistent with the noise-aware design priority stated in Report 2.</w:t>
      </w:r>
    </w:p>
    <w:p>
      <w:pPr>
        <w:spacing w:after="0" w:before="160"/>
      </w:pPr>
    </w:p>
    <w:p>
      <w:pPr>
        <w:spacing w:after="100" w:before="200"/>
      </w:pPr>
      <w:r>
        <w:rPr>
          <w:rFonts w:ascii="Times New Roman" w:cs="Times New Roman" w:eastAsia="Times New Roman" w:hAnsi="Times New Roman"/>
          <w:b/>
          <w:bCs/>
          <w:color w:val="000000"/>
          <w:sz w:val="20"/>
          <w:szCs w:val="20"/>
        </w:rPr>
        <w:t xml:space="preserve">VI. DISCUSSION</w:t>
      </w:r>
    </w:p>
    <w:p>
      <w:pPr>
        <w:spacing w:after="80" w:before="140"/>
      </w:pPr>
      <w:r>
        <w:rPr>
          <w:rFonts w:ascii="Times New Roman" w:cs="Times New Roman" w:eastAsia="Times New Roman" w:hAnsi="Times New Roman"/>
          <w:b/>
          <w:bCs/>
          <w:sz w:val="20"/>
          <w:szCs w:val="20"/>
        </w:rPr>
        <w:t xml:space="preserve">A. Key Observations</w:t>
      </w:r>
    </w:p>
    <w:p>
      <w:pPr>
        <w:spacing w:after="60" w:before="60"/>
        <w:jc w:val="both"/>
      </w:pPr>
      <w:r>
        <w:rPr>
          <w:rFonts w:ascii="Times New Roman" w:cs="Times New Roman" w:eastAsia="Times New Roman" w:hAnsi="Times New Roman"/>
          <w:b/>
          <w:bCs/>
          <w:color w:val="000000"/>
          <w:sz w:val="20"/>
          <w:szCs w:val="20"/>
        </w:rPr>
        <w:t xml:space="preserve">Quantum Feature Transformation is Valuable: </w:t>
      </w:r>
      <w:r>
        <w:rPr>
          <w:rFonts w:ascii="Times New Roman" w:cs="Times New Roman" w:eastAsia="Times New Roman" w:hAnsi="Times New Roman"/>
          <w:color w:val="000000"/>
          <w:sz w:val="20"/>
          <w:szCs w:val="20"/>
        </w:rPr>
        <w:t xml:space="preserve">Even with untrained, fixed random circuit parameters, the quantum feature extraction in the hybrid model provides sufficient non-linear transformation for the classical softmax layer to achieve 90% accuracy. This strongly supports the hybrid architecture paradigm for near-term QML.</w:t>
      </w:r>
    </w:p>
    <w:p>
      <w:pPr>
        <w:spacing w:after="0" w:before="60"/>
      </w:pPr>
    </w:p>
    <w:p>
      <w:pPr>
        <w:spacing w:after="60" w:before="60"/>
        <w:jc w:val="both"/>
      </w:pPr>
      <w:r>
        <w:rPr>
          <w:rFonts w:ascii="Times New Roman" w:cs="Times New Roman" w:eastAsia="Times New Roman" w:hAnsi="Times New Roman"/>
          <w:b/>
          <w:bCs/>
          <w:color w:val="000000"/>
          <w:sz w:val="20"/>
          <w:szCs w:val="20"/>
        </w:rPr>
        <w:t xml:space="preserve">COBYLA Optimization is Feasible but Limited: </w:t>
      </w:r>
      <w:r>
        <w:rPr>
          <w:rFonts w:ascii="Times New Roman" w:cs="Times New Roman" w:eastAsia="Times New Roman" w:hAnsi="Times New Roman"/>
          <w:color w:val="000000"/>
          <w:sz w:val="20"/>
          <w:szCs w:val="20"/>
        </w:rPr>
        <w:t xml:space="preserve">The COBYLA optimizer successfully improved accuracy from 30% to 50% without gradient computation. The primary limitation was the coarseness of the loss landscape under shot noise and the restricted number of training iterations. Increasing maxiter beyond 100 could yield further improvements at the cost of higher simulation time.</w:t>
      </w:r>
    </w:p>
    <w:p>
      <w:pPr>
        <w:spacing w:after="0" w:before="60"/>
      </w:pPr>
    </w:p>
    <w:p>
      <w:pPr>
        <w:spacing w:after="60" w:before="60"/>
        <w:jc w:val="both"/>
      </w:pPr>
      <w:r>
        <w:rPr>
          <w:rFonts w:ascii="Times New Roman" w:cs="Times New Roman" w:eastAsia="Times New Roman" w:hAnsi="Times New Roman"/>
          <w:b/>
          <w:bCs/>
          <w:color w:val="000000"/>
          <w:sz w:val="20"/>
          <w:szCs w:val="20"/>
        </w:rPr>
        <w:t xml:space="preserve">Shot Noise Impact: </w:t>
      </w:r>
      <w:r>
        <w:rPr>
          <w:rFonts w:ascii="Times New Roman" w:cs="Times New Roman" w:eastAsia="Times New Roman" w:hAnsi="Times New Roman"/>
          <w:color w:val="000000"/>
          <w:sz w:val="20"/>
          <w:szCs w:val="20"/>
        </w:rPr>
        <w:t xml:space="preserve">At 2048 shots per circuit execution, the measurement probability estimates carry statistical variance of approximately ±1/√2048 ≈ ±2.2%. This noise propagates through the softmax and cross-entropy loss, creating a rough optimization landscape for COBYLA. Higher shot counts would yield smoother gradients.</w:t>
      </w:r>
    </w:p>
    <w:p>
      <w:pPr>
        <w:spacing w:after="80" w:before="140"/>
      </w:pPr>
      <w:r>
        <w:rPr>
          <w:rFonts w:ascii="Times New Roman" w:cs="Times New Roman" w:eastAsia="Times New Roman" w:hAnsi="Times New Roman"/>
          <w:b/>
          <w:bCs/>
          <w:sz w:val="20"/>
          <w:szCs w:val="20"/>
        </w:rPr>
        <w:t xml:space="preserve">B. Limitations</w:t>
      </w:r>
    </w:p>
    <w:p>
      <w:pPr>
        <w:spacing w:after="60" w:before="60"/>
        <w:jc w:val="both"/>
      </w:pPr>
      <w:r>
        <w:rPr>
          <w:rFonts w:ascii="Times New Roman" w:cs="Times New Roman" w:eastAsia="Times New Roman" w:hAnsi="Times New Roman"/>
          <w:color w:val="000000"/>
          <w:sz w:val="20"/>
          <w:szCs w:val="20"/>
        </w:rPr>
        <w:t xml:space="preserve">The current implementation has several notable limitations. First, training was conducted on a classical Qiskit Aer simulator with no hardware noise model applied, meaning the results represent an idealized noise-free simulation rather than realistic NISQ hardware performance. Second, the hybrid model used fixed random parameters for the quantum circuit rather than jointly optimized parameters, leaving potential expressibility gains unrealized. Third, only the Iris dataset was evaluated due to computational constraints; the Breast Cancer dataset experiments remain as future work.</w:t>
      </w:r>
    </w:p>
    <w:p>
      <w:pPr>
        <w:spacing w:after="80" w:before="140"/>
      </w:pPr>
      <w:r>
        <w:rPr>
          <w:rFonts w:ascii="Times New Roman" w:cs="Times New Roman" w:eastAsia="Times New Roman" w:hAnsi="Times New Roman"/>
          <w:b/>
          <w:bCs/>
          <w:sz w:val="20"/>
          <w:szCs w:val="20"/>
        </w:rPr>
        <w:t xml:space="preserve">C. Future Work</w:t>
      </w:r>
    </w:p>
    <w:p>
      <w:pPr>
        <w:spacing w:after="60" w:before="60"/>
        <w:jc w:val="both"/>
      </w:pPr>
      <w:r>
        <w:rPr>
          <w:rFonts w:ascii="Times New Roman" w:cs="Times New Roman" w:eastAsia="Times New Roman" w:hAnsi="Times New Roman"/>
          <w:color w:val="000000"/>
          <w:sz w:val="20"/>
          <w:szCs w:val="20"/>
        </w:rPr>
        <w:t xml:space="preserve">Several improvements are planned for future work. Applying a depolarizing noise model in Qiskit Aer during training would simulate realistic IBM Quantum hardware conditions and enable noise-aware parameter optimization as described in Report 2. Joint optimization of quantum circuit parameters and classical classifier weights using a gradient-free co-optimization strategy would fully realize the NA-HVQC architecture. Extension to the Breast Cancer binary classification dataset would provide a more comprehensive evaluation across dataset types. Finally, validation on physical IBM Quantum hardware via the IBM Quantum Experience would complement the simulation results.</w:t>
      </w:r>
    </w:p>
    <w:p>
      <w:pPr>
        <w:spacing w:after="0" w:before="160"/>
      </w:pPr>
    </w:p>
    <w:p>
      <w:pPr>
        <w:spacing w:after="100" w:before="200"/>
      </w:pPr>
      <w:r>
        <w:rPr>
          <w:rFonts w:ascii="Times New Roman" w:cs="Times New Roman" w:eastAsia="Times New Roman" w:hAnsi="Times New Roman"/>
          <w:b/>
          <w:bCs/>
          <w:color w:val="000000"/>
          <w:sz w:val="20"/>
          <w:szCs w:val="20"/>
        </w:rPr>
        <w:t xml:space="preserve">VII. CONCLUSION</w:t>
      </w:r>
    </w:p>
    <w:p>
      <w:pPr>
        <w:spacing w:after="60" w:before="60"/>
        <w:jc w:val="both"/>
      </w:pPr>
      <w:r>
        <w:rPr>
          <w:rFonts w:ascii="Times New Roman" w:cs="Times New Roman" w:eastAsia="Times New Roman" w:hAnsi="Times New Roman"/>
          <w:color w:val="000000"/>
          <w:sz w:val="20"/>
          <w:szCs w:val="20"/>
        </w:rPr>
        <w:t xml:space="preserve">This report presented the complete implementation and experimental evaluation of the Noise-Aware Hybrid Variational Quantum Classifier (NA-HVQC) on the Iris benchmark dataset using Qiskit Aer quantum simulation. Three model configurations — Baseline VQC, COBYLA-trained VQC, and Hybrid Quantum-Softmax — were evaluated to characterize the performance progression of the architecture.</w:t>
      </w:r>
    </w:p>
    <w:p>
      <w:pPr>
        <w:spacing w:after="60" w:before="60"/>
        <w:jc w:val="both"/>
      </w:pPr>
      <w:r>
        <w:rPr>
          <w:rFonts w:ascii="Times New Roman" w:cs="Times New Roman" w:eastAsia="Times New Roman" w:hAnsi="Times New Roman"/>
          <w:color w:val="000000"/>
          <w:sz w:val="20"/>
          <w:szCs w:val="20"/>
        </w:rPr>
        <w:t xml:space="preserve">The experimental results clearly demonstrate the superiority of the hybrid quantum-classical paradigm. The Hybrid Quantum-Softmax model achieved 90% accuracy and a weighted F1-score of 0.90, representing a 3× improvement over the untrained baseline and a 40% improvement over the standalone COBYLA-trained quantum classifier. These results are consistent with the theoretical predictions of Report 2 and the broader QML literature, confirming that quantum circuits provide a meaningful feature transformation capability even in shallow, noise-limited configurations.</w:t>
      </w:r>
    </w:p>
    <w:p>
      <w:pPr>
        <w:spacing w:after="60" w:before="60"/>
        <w:jc w:val="both"/>
      </w:pPr>
      <w:r>
        <w:rPr>
          <w:rFonts w:ascii="Times New Roman" w:cs="Times New Roman" w:eastAsia="Times New Roman" w:hAnsi="Times New Roman"/>
          <w:color w:val="000000"/>
          <w:sz w:val="20"/>
          <w:szCs w:val="20"/>
        </w:rPr>
        <w:t xml:space="preserve">The implementation successfully realized all core components of the NA-HVQC design: adaptive feature encoding selection, shallow 3-layer variational ansatz with linear entanglement, COBYLA-based classical optimization, and Pauli-Z expectation value extraction for hybrid classification. The circuit gate count (9 CNOT gates total) comfortably satisfies the NISQ hardware compatibility constraint of fewer than 50 two-qubit gates.</w:t>
      </w:r>
    </w:p>
    <w:p>
      <w:pPr>
        <w:spacing w:after="60" w:before="60"/>
        <w:jc w:val="both"/>
      </w:pPr>
      <w:r>
        <w:rPr>
          <w:rFonts w:ascii="Times New Roman" w:cs="Times New Roman" w:eastAsia="Times New Roman" w:hAnsi="Times New Roman"/>
          <w:color w:val="000000"/>
          <w:sz w:val="20"/>
          <w:szCs w:val="20"/>
        </w:rPr>
        <w:t xml:space="preserve">These findings validate the hybrid quantum-classical architecture as a viable approach for quantum machine learning on NISQ devices, and establish a strong empirical foundation for future hardware experiments and noise-aware training extensions.</w:t>
      </w:r>
    </w:p>
    <w:p>
      <w:pPr>
        <w:spacing w:after="0" w:before="160"/>
      </w:pPr>
    </w:p>
    <w:p>
      <w:pPr>
        <w:spacing w:after="100" w:before="200"/>
      </w:pPr>
      <w:r>
        <w:rPr>
          <w:rFonts w:ascii="Times New Roman" w:cs="Times New Roman" w:eastAsia="Times New Roman" w:hAnsi="Times New Roman"/>
          <w:b/>
          <w:bCs/>
          <w:color w:val="000000"/>
          <w:sz w:val="20"/>
          <w:szCs w:val="20"/>
        </w:rPr>
        <w:t xml:space="preserve">REFERENCES</w:t>
      </w:r>
    </w:p>
    <w:p>
      <w:pPr>
        <w:spacing w:after="40" w:before="60"/>
      </w:pPr>
      <w:r>
        <w:rPr>
          <w:rFonts w:ascii="Times New Roman" w:cs="Times New Roman" w:eastAsia="Times New Roman" w:hAnsi="Times New Roman"/>
          <w:color w:val="000000"/>
          <w:sz w:val="20"/>
          <w:szCs w:val="20"/>
        </w:rPr>
        <w:t xml:space="preserve">[1]  H.-X. Yin, Z.-Y. Hu, H.-H. Zeng, J.-B. Guan, and J.-K. Wang, "Application of quantum machine learning using variational quantum classifier in accelerator physics," </w:t>
      </w:r>
      <w:r>
        <w:rPr>
          <w:rFonts w:ascii="Times New Roman" w:cs="Times New Roman" w:eastAsia="Times New Roman" w:hAnsi="Times New Roman"/>
          <w:color w:val="000000"/>
          <w:sz w:val="20"/>
          <w:szCs w:val="20"/>
        </w:rPr>
        <w:t xml:space="preserve">arXiv:2506.06662</w:t>
      </w:r>
      <w:r>
        <w:rPr>
          <w:rFonts w:ascii="Times New Roman" w:cs="Times New Roman" w:eastAsia="Times New Roman" w:hAnsi="Times New Roman"/>
          <w:color w:val="000000"/>
          <w:sz w:val="20"/>
          <w:szCs w:val="20"/>
        </w:rPr>
        <w:t xml:space="preserve">, Jun. 2025. doi: 10.48550/arXiv.2506.06662.</w:t>
      </w:r>
    </w:p>
    <w:p>
      <w:pPr>
        <w:spacing w:after="40" w:before="40"/>
      </w:pPr>
      <w:r>
        <w:rPr>
          <w:rFonts w:ascii="Times New Roman" w:cs="Times New Roman" w:eastAsia="Times New Roman" w:hAnsi="Times New Roman"/>
          <w:color w:val="000000"/>
          <w:sz w:val="20"/>
          <w:szCs w:val="20"/>
        </w:rPr>
        <w:t xml:space="preserve">[2]  S. Vengathattil, "Quantum Machine Learning (QML): Variational Classifiers, Quantum Kernels and Hybrid Architectures," </w:t>
      </w:r>
      <w:r>
        <w:rPr>
          <w:rFonts w:ascii="Times New Roman" w:cs="Times New Roman" w:eastAsia="Times New Roman" w:hAnsi="Times New Roman"/>
          <w:color w:val="000000"/>
          <w:sz w:val="20"/>
          <w:szCs w:val="20"/>
        </w:rPr>
        <w:t xml:space="preserve">World Journal of Advanced Research and Reviews</w:t>
      </w:r>
      <w:r>
        <w:rPr>
          <w:rFonts w:ascii="Times New Roman" w:cs="Times New Roman" w:eastAsia="Times New Roman" w:hAnsi="Times New Roman"/>
          <w:color w:val="000000"/>
          <w:sz w:val="20"/>
          <w:szCs w:val="20"/>
        </w:rPr>
        <w:t xml:space="preserve">, Oct. 2025. doi: 10.30574/wjarr.2025.28.1.3416.</w:t>
      </w:r>
    </w:p>
    <w:p>
      <w:pPr>
        <w:spacing w:after="40" w:before="40"/>
      </w:pPr>
      <w:r>
        <w:rPr>
          <w:rFonts w:ascii="Times New Roman" w:cs="Times New Roman" w:eastAsia="Times New Roman" w:hAnsi="Times New Roman"/>
          <w:color w:val="000000"/>
          <w:sz w:val="20"/>
          <w:szCs w:val="20"/>
        </w:rPr>
        <w:t xml:space="preserve">[3]  J. R. McClean, S. Boixo, V. N. Smelyanskiy, R. Babbush, and H. Neven, "Barren plateaus in quantum neural network training landscapes," </w:t>
      </w:r>
      <w:r>
        <w:rPr>
          <w:rFonts w:ascii="Times New Roman" w:cs="Times New Roman" w:eastAsia="Times New Roman" w:hAnsi="Times New Roman"/>
          <w:color w:val="000000"/>
          <w:sz w:val="20"/>
          <w:szCs w:val="20"/>
        </w:rPr>
        <w:t xml:space="preserve">Nature Communications</w:t>
      </w:r>
      <w:r>
        <w:rPr>
          <w:rFonts w:ascii="Times New Roman" w:cs="Times New Roman" w:eastAsia="Times New Roman" w:hAnsi="Times New Roman"/>
          <w:color w:val="000000"/>
          <w:sz w:val="20"/>
          <w:szCs w:val="20"/>
        </w:rPr>
        <w:t xml:space="preserve">, vol. 9, no. 4812, 2018.</w:t>
      </w:r>
    </w:p>
    <w:p>
      <w:pPr>
        <w:spacing w:after="40" w:before="40"/>
      </w:pPr>
      <w:r>
        <w:rPr>
          <w:rFonts w:ascii="Times New Roman" w:cs="Times New Roman" w:eastAsia="Times New Roman" w:hAnsi="Times New Roman"/>
          <w:color w:val="000000"/>
          <w:sz w:val="20"/>
          <w:szCs w:val="20"/>
        </w:rPr>
        <w:t xml:space="preserve">[4]  V. Havlíček et al., "Supervised learning with quantum-enhanced feature spaces," </w:t>
      </w:r>
      <w:r>
        <w:rPr>
          <w:rFonts w:ascii="Times New Roman" w:cs="Times New Roman" w:eastAsia="Times New Roman" w:hAnsi="Times New Roman"/>
          <w:color w:val="000000"/>
          <w:sz w:val="20"/>
          <w:szCs w:val="20"/>
        </w:rPr>
        <w:t xml:space="preserve">Nature</w:t>
      </w:r>
      <w:r>
        <w:rPr>
          <w:rFonts w:ascii="Times New Roman" w:cs="Times New Roman" w:eastAsia="Times New Roman" w:hAnsi="Times New Roman"/>
          <w:color w:val="000000"/>
          <w:sz w:val="20"/>
          <w:szCs w:val="20"/>
        </w:rPr>
        <w:t xml:space="preserve">, vol. 567, pp. 209–212, 2019.</w:t>
      </w:r>
    </w:p>
    <w:p>
      <w:pPr>
        <w:spacing w:after="40" w:before="40"/>
      </w:pPr>
      <w:r>
        <w:rPr>
          <w:rFonts w:ascii="Times New Roman" w:cs="Times New Roman" w:eastAsia="Times New Roman" w:hAnsi="Times New Roman"/>
          <w:color w:val="000000"/>
          <w:sz w:val="20"/>
          <w:szCs w:val="20"/>
        </w:rPr>
        <w:t xml:space="preserve">[5]  K. Bharti et al., "Noisy intermediate-scale quantum algorithms," </w:t>
      </w:r>
      <w:r>
        <w:rPr>
          <w:rFonts w:ascii="Times New Roman" w:cs="Times New Roman" w:eastAsia="Times New Roman" w:hAnsi="Times New Roman"/>
          <w:color w:val="000000"/>
          <w:sz w:val="20"/>
          <w:szCs w:val="20"/>
        </w:rPr>
        <w:t xml:space="preserve">Reviews of Modern Physics</w:t>
      </w:r>
      <w:r>
        <w:rPr>
          <w:rFonts w:ascii="Times New Roman" w:cs="Times New Roman" w:eastAsia="Times New Roman" w:hAnsi="Times New Roman"/>
          <w:color w:val="000000"/>
          <w:sz w:val="20"/>
          <w:szCs w:val="20"/>
        </w:rPr>
        <w:t xml:space="preserve">, vol. 94, no. 015004, 2022.</w:t>
      </w:r>
    </w:p>
    <w:p>
      <w:pPr>
        <w:spacing w:after="40" w:before="40"/>
      </w:pPr>
      <w:r>
        <w:rPr>
          <w:rFonts w:ascii="Times New Roman" w:cs="Times New Roman" w:eastAsia="Times New Roman" w:hAnsi="Times New Roman"/>
          <w:color w:val="000000"/>
          <w:sz w:val="20"/>
          <w:szCs w:val="20"/>
        </w:rPr>
        <w:t xml:space="preserve">[6]  Qiskit Contributors, "Qiskit: An open-source framework for quantum computing," 2023. [Online]. Available: https://qiskit.org</w:t>
      </w:r>
    </w:p>
    <w:p>
      <w:pPr>
        <w:spacing w:after="100" w:before="40"/>
      </w:pPr>
      <w:r>
        <w:rPr>
          <w:rFonts w:ascii="Times New Roman" w:cs="Times New Roman" w:eastAsia="Times New Roman" w:hAnsi="Times New Roman"/>
          <w:color w:val="000000"/>
          <w:sz w:val="20"/>
          <w:szCs w:val="20"/>
        </w:rPr>
        <w:t xml:space="preserve">[7]  F. Pedregosa et al., "Scikit-learn: Machine learning in Python," </w:t>
      </w:r>
      <w:r>
        <w:rPr>
          <w:rFonts w:ascii="Times New Roman" w:cs="Times New Roman" w:eastAsia="Times New Roman" w:hAnsi="Times New Roman"/>
          <w:color w:val="000000"/>
          <w:sz w:val="20"/>
          <w:szCs w:val="20"/>
        </w:rPr>
        <w:t xml:space="preserve">Journal of Machine Learning Research</w:t>
      </w:r>
      <w:r>
        <w:rPr>
          <w:rFonts w:ascii="Times New Roman" w:cs="Times New Roman" w:eastAsia="Times New Roman" w:hAnsi="Times New Roman"/>
          <w:color w:val="000000"/>
          <w:sz w:val="20"/>
          <w:szCs w:val="20"/>
        </w:rPr>
        <w:t xml:space="preserve">, vol. 12, pp. 2825–2830, 2011.</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FAST-NUCES QML Project | Report 3 — Implementation &amp; Results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color w:val="000000"/>
        <w:sz w:val="20"/>
        <w:szCs w:val="20"/>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b0f7fa6d1e51b20b5c3ae665bc877b8cfdb181.png"/><Relationship Id="rId9" Type="http://schemas.openxmlformats.org/officeDocument/2006/relationships/image" Target="media/7bf97b85955327bc858d388ff9bc73c3aafe7f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2026-05-03T12:26:24.996Z</dcterms:created>
  <dcterms:modified xsi:type="dcterms:W3CDTF">2026-05-03T12:26:24.997Z</dcterms:modified>
</cp:coreProperties>
</file>

<file path=docProps/custom.xml><?xml version="1.0" encoding="utf-8"?>
<Properties xmlns="http://schemas.openxmlformats.org/officeDocument/2006/custom-properties" xmlns:vt="http://schemas.openxmlformats.org/officeDocument/2006/docPropsVTypes"/>
</file>