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E887">
      <w:pPr>
        <w:spacing w:after="177"/>
        <w:ind w:left="-5" w:hanging="10"/>
        <w:rPr>
          <w:b/>
          <w:bCs/>
          <w:sz w:val="24"/>
        </w:rPr>
      </w:pPr>
      <w:r>
        <w:rPr>
          <w:b/>
          <w:bCs/>
        </w:rPr>
        <w:t xml:space="preserve">                                                                       </w:t>
      </w:r>
      <w:r>
        <w:rPr>
          <w:b/>
          <w:bCs/>
          <w:sz w:val="24"/>
        </w:rPr>
        <w:t xml:space="preserve">Project Design Phase </w:t>
      </w:r>
    </w:p>
    <w:p w14:paraId="04DF59E4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078820F3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033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695"/>
        <w:gridCol w:w="4338"/>
      </w:tblGrid>
      <w:tr w14:paraId="2D2C6A73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81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4C8B2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413E8">
            <w:pPr>
              <w:spacing w:after="0"/>
            </w:pPr>
            <w:r>
              <w:t>20 February 2026</w:t>
            </w:r>
          </w:p>
        </w:tc>
      </w:tr>
      <w:tr w14:paraId="1679850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C75FA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6B423">
            <w:pPr>
              <w:spacing w:after="0"/>
              <w:rPr>
                <w:rFonts w:hint="default"/>
                <w:lang w:val="en-IN"/>
              </w:rPr>
            </w:pPr>
            <w:r>
              <w:t>LTVIP2026TMIDS</w:t>
            </w:r>
            <w:r>
              <w:rPr>
                <w:rFonts w:hint="default"/>
                <w:lang w:val="en-IN"/>
              </w:rPr>
              <w:t>88116</w:t>
            </w:r>
            <w:bookmarkStart w:id="0" w:name="_GoBack"/>
            <w:bookmarkEnd w:id="0"/>
          </w:p>
        </w:tc>
      </w:tr>
      <w:tr w14:paraId="75950149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0F6A5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2EC04">
            <w:pPr>
              <w:spacing w:after="0"/>
            </w:pPr>
            <w:r>
              <w:t xml:space="preserve">Measuring the pulse of prosperity: an index of economic freedom analysis </w:t>
            </w:r>
          </w:p>
        </w:tc>
      </w:tr>
      <w:tr w14:paraId="44D263A4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F3152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414E6">
            <w:pPr>
              <w:spacing w:after="0"/>
            </w:pPr>
            <w:r>
              <w:t xml:space="preserve">2 Marks </w:t>
            </w:r>
          </w:p>
        </w:tc>
      </w:tr>
    </w:tbl>
    <w:p w14:paraId="56456B3C">
      <w:pPr>
        <w:spacing w:after="158"/>
      </w:pPr>
      <w:r>
        <w:rPr>
          <w:b/>
        </w:rPr>
        <w:t xml:space="preserve"> </w:t>
      </w:r>
    </w:p>
    <w:p w14:paraId="402FC2C6">
      <w:r>
        <w:rPr>
          <w:b/>
        </w:rPr>
        <w:t xml:space="preserve">Proposed Solution Template: </w:t>
      </w:r>
    </w:p>
    <w:p w14:paraId="035007F1">
      <w:pPr>
        <w:spacing w:after="0"/>
        <w:ind w:left="-5" w:hanging="10"/>
      </w:pPr>
      <w:r>
        <w:t xml:space="preserve">Project team shall fill the following information in the proposed solution template. </w:t>
      </w:r>
    </w:p>
    <w:tbl>
      <w:tblPr>
        <w:tblStyle w:val="4"/>
        <w:tblW w:w="9069" w:type="dxa"/>
        <w:tblInd w:w="5" w:type="dxa"/>
        <w:tblLayout w:type="autofit"/>
        <w:tblCellMar>
          <w:top w:w="48" w:type="dxa"/>
          <w:left w:w="106" w:type="dxa"/>
          <w:bottom w:w="0" w:type="dxa"/>
          <w:right w:w="77" w:type="dxa"/>
        </w:tblCellMar>
      </w:tblPr>
      <w:tblGrid>
        <w:gridCol w:w="902"/>
        <w:gridCol w:w="3658"/>
        <w:gridCol w:w="4509"/>
      </w:tblGrid>
      <w:tr w14:paraId="2D9A8D0C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566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D4C25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EE5A3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C5F8D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14:paraId="7BD5EB8E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1E39F">
            <w:pPr>
              <w:spacing w:after="0"/>
              <w:ind w:left="286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61192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CDA78">
            <w:pPr>
              <w:spacing w:after="0"/>
              <w:ind w:left="2"/>
            </w:pPr>
            <w:r>
              <w:t xml:space="preserve">Despite the availability of macroeconomic data, policymakers and researchers lack a clear, accessible method to evaluate how economic freedom correlates with prosperity. </w:t>
            </w:r>
          </w:p>
        </w:tc>
      </w:tr>
      <w:tr w14:paraId="1F41E7D6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AAF1B">
            <w:pPr>
              <w:spacing w:after="0"/>
              <w:ind w:left="286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C76DA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84D16">
            <w:pPr>
              <w:spacing w:after="0"/>
              <w:ind w:left="2" w:right="13"/>
            </w:pPr>
            <w:r>
              <w:t xml:space="preserve">The project analyses the Economic Freedom Index using data visualization and comparative analysis tools. It offers clear dashboards, insights, and recommendations across countries </w:t>
            </w:r>
          </w:p>
        </w:tc>
      </w:tr>
      <w:tr w14:paraId="1AE79AE7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7C1FA">
            <w:pPr>
              <w:spacing w:after="0"/>
              <w:ind w:left="286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972DE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8851E">
            <w:pPr>
              <w:spacing w:after="0"/>
              <w:ind w:left="2"/>
            </w:pPr>
            <w:r>
              <w:t xml:space="preserve">While reports exist, this solution provides an interactive, comparative, and visually rich platform combining multiple data dimensions useful for academia and policy </w:t>
            </w:r>
          </w:p>
        </w:tc>
      </w:tr>
      <w:tr w14:paraId="7A7A59EF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1083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E62F0">
            <w:pPr>
              <w:spacing w:after="0"/>
              <w:ind w:left="286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674EC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02C26">
            <w:pPr>
              <w:spacing w:after="0"/>
              <w:ind w:left="2"/>
            </w:pPr>
            <w:r>
              <w:t xml:space="preserve">Informed citizens, better policy decisions, and transparency in economic governance. This tool helps identify reforms needed to enhance freedom and economic performance. </w:t>
            </w:r>
          </w:p>
        </w:tc>
      </w:tr>
      <w:tr w14:paraId="5ECF4051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92581">
            <w:pPr>
              <w:spacing w:after="0"/>
              <w:ind w:left="286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808D1F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2AE23">
            <w:pPr>
              <w:spacing w:after="0"/>
              <w:ind w:left="2"/>
            </w:pPr>
            <w:r>
              <w:t xml:space="preserve">Can be offered as a freemium tool for students/researchers, with advanced insights and country reports available via subscription for institutions, think tanks, or NGOs. </w:t>
            </w:r>
          </w:p>
        </w:tc>
      </w:tr>
      <w:tr w14:paraId="6D8EBA84">
        <w:tblPrEx>
          <w:tblCellMar>
            <w:top w:w="48" w:type="dxa"/>
            <w:left w:w="106" w:type="dxa"/>
            <w:bottom w:w="0" w:type="dxa"/>
            <w:right w:w="77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347D4">
            <w:pPr>
              <w:spacing w:after="0"/>
              <w:ind w:left="286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77923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F2DDA">
            <w:pPr>
              <w:spacing w:after="0"/>
              <w:ind w:left="2"/>
            </w:pPr>
            <w:r>
              <w:t xml:space="preserve">Can be extended to include regional/state-level indices, time-series trends, or integration with other indicators (e.g., Human Development Index, Corruption Perception Index). </w:t>
            </w:r>
          </w:p>
        </w:tc>
      </w:tr>
    </w:tbl>
    <w:p w14:paraId="17964E3F">
      <w:pPr>
        <w:spacing w:after="0"/>
      </w:pPr>
      <w:r>
        <w:t xml:space="preserve"> 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32C"/>
    <w:rsid w:val="0012332C"/>
    <w:rsid w:val="001B2676"/>
    <w:rsid w:val="003710D5"/>
    <w:rsid w:val="008A2FC9"/>
    <w:rsid w:val="0757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255</Words>
  <Characters>1455</Characters>
  <Lines>12</Lines>
  <Paragraphs>3</Paragraphs>
  <TotalTime>0</TotalTime>
  <ScaleCrop>false</ScaleCrop>
  <LinksUpToDate>false</LinksUpToDate>
  <CharactersWithSpaces>1707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2026-02-25T07:15:00Z</dcterms:created>
  <dc:creator>Amarender Katkam</dc:creator>
  <cp:lastModifiedBy>rames</cp:lastModifiedBy>
  <dcterms:modified xsi:type="dcterms:W3CDTF">2026-02-28T08:16:30Z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46B9484E026F4226A56E8E3D706E8443_12</vt:lpwstr>
  </property>
</Properties>
</file>